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3E72" w14:textId="7054C7D8" w:rsidR="00363DDC" w:rsidRPr="00363DDC" w:rsidRDefault="00363DDC" w:rsidP="00363DDC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363DDC">
        <w:rPr>
          <w:rFonts w:ascii="Montserrat Light" w:hAnsi="Montserrat Light"/>
          <w:b/>
          <w:bCs/>
        </w:rPr>
        <w:t>viso de Privacidad Simplificado</w:t>
      </w:r>
    </w:p>
    <w:p w14:paraId="1B119A1F" w14:textId="77777777" w:rsidR="00363DDC" w:rsidRPr="00363DDC" w:rsidRDefault="00363DDC" w:rsidP="00363DDC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363DDC">
        <w:rPr>
          <w:rFonts w:ascii="Montserrat Light" w:hAnsi="Montserrat Light"/>
          <w:b/>
          <w:bCs/>
        </w:rPr>
        <w:t>de la Contratación de Bienes y Servicios a Proveedores para la Financiera Nacional de</w:t>
      </w:r>
    </w:p>
    <w:p w14:paraId="0D5250BC" w14:textId="77777777" w:rsidR="00363DDC" w:rsidRPr="00363DDC" w:rsidRDefault="00363DDC" w:rsidP="00363DDC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363DDC">
        <w:rPr>
          <w:rFonts w:ascii="Montserrat Light" w:hAnsi="Montserrat Light"/>
          <w:b/>
          <w:bCs/>
        </w:rPr>
        <w:t>Desarrollo Agropecuario, Rural, Forestal y Pesquero (la “FND”)</w:t>
      </w:r>
    </w:p>
    <w:p w14:paraId="09187144" w14:textId="77777777" w:rsidR="00E6031A" w:rsidRDefault="00E6031A" w:rsidP="00363DDC">
      <w:pPr>
        <w:spacing w:line="276" w:lineRule="auto"/>
        <w:ind w:firstLine="708"/>
        <w:jc w:val="both"/>
        <w:rPr>
          <w:rFonts w:ascii="Montserrat Light" w:hAnsi="Montserrat Light"/>
        </w:rPr>
      </w:pPr>
      <w:bookmarkStart w:id="0" w:name="_Hlk129968069"/>
      <w:bookmarkStart w:id="1" w:name="_Hlk129966999"/>
    </w:p>
    <w:p w14:paraId="3E5B48F0" w14:textId="02F84269" w:rsidR="00363DDC" w:rsidRPr="00363DDC" w:rsidRDefault="00E6031A" w:rsidP="00363DDC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7B1321">
        <w:rPr>
          <w:rFonts w:ascii="Montserrat Light" w:hAnsi="Montserrat Light"/>
        </w:rPr>
        <w:t>La Financiera Nacional de Desarrollo Agropecuario, Rural, Forestal y Pesquero (en lo sucesivo FND)</w:t>
      </w:r>
      <w:bookmarkEnd w:id="0"/>
      <w:r w:rsidRPr="007B1321">
        <w:rPr>
          <w:rFonts w:ascii="Montserrat Light" w:hAnsi="Montserrat Light"/>
        </w:rPr>
        <w:t xml:space="preserve">, </w:t>
      </w:r>
      <w:bookmarkEnd w:id="1"/>
      <w:r w:rsidR="00363DDC" w:rsidRPr="00363DDC">
        <w:rPr>
          <w:rFonts w:ascii="Montserrat Light" w:hAnsi="Montserrat Light"/>
        </w:rPr>
        <w:t>es responsable del tratamiento de los datos personales que proporcione toda persona que participe en los procedimientos de contratación, suscripción de contratos y/o pedidos los cuales serán protegidos conforme a lo dispuesto por la Ley General de Protección de Datos Personales en Posesión de Sujetos Obligados y la demás normatividad que resulte aplicable.</w:t>
      </w:r>
    </w:p>
    <w:p w14:paraId="258F3F29" w14:textId="5919C28B" w:rsidR="00872B97" w:rsidRPr="00A074A7" w:rsidRDefault="00363DDC" w:rsidP="00872B9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Los datos personales e información recabados los utilizaremos para las siguientes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finalidades:</w:t>
      </w:r>
    </w:p>
    <w:tbl>
      <w:tblPr>
        <w:tblStyle w:val="Tablaconcuadrcula"/>
        <w:tblW w:w="8869" w:type="dxa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1659"/>
        <w:gridCol w:w="297"/>
        <w:gridCol w:w="1956"/>
      </w:tblGrid>
      <w:tr w:rsidR="00872B97" w14:paraId="52BA774C" w14:textId="77777777" w:rsidTr="00F3562F">
        <w:trPr>
          <w:trHeight w:val="648"/>
          <w:jc w:val="center"/>
        </w:trPr>
        <w:tc>
          <w:tcPr>
            <w:tcW w:w="2547" w:type="dxa"/>
            <w:vMerge w:val="restart"/>
          </w:tcPr>
          <w:p w14:paraId="0376DCF1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882712">
              <w:rPr>
                <w:rFonts w:ascii="Montserrat Light" w:hAnsi="Montserrat Light"/>
                <w:b/>
                <w:bCs/>
              </w:rPr>
              <w:t>Finalidades</w:t>
            </w:r>
          </w:p>
        </w:tc>
        <w:tc>
          <w:tcPr>
            <w:tcW w:w="2410" w:type="dxa"/>
            <w:vMerge w:val="restart"/>
          </w:tcPr>
          <w:p w14:paraId="0206C340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882712">
              <w:rPr>
                <w:rFonts w:ascii="Montserrat Light" w:hAnsi="Montserrat Light"/>
                <w:b/>
                <w:bCs/>
              </w:rPr>
              <w:t>Datos</w:t>
            </w:r>
          </w:p>
        </w:tc>
        <w:tc>
          <w:tcPr>
            <w:tcW w:w="3912" w:type="dxa"/>
            <w:gridSpan w:val="3"/>
          </w:tcPr>
          <w:p w14:paraId="587D1C7B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882712">
              <w:rPr>
                <w:rFonts w:ascii="Montserrat Light" w:hAnsi="Montserrat Light"/>
                <w:b/>
                <w:bCs/>
              </w:rPr>
              <w:t>¿Requieren el consentimiento del titular?</w:t>
            </w:r>
          </w:p>
        </w:tc>
      </w:tr>
      <w:tr w:rsidR="00872B97" w14:paraId="044A2EE2" w14:textId="77777777" w:rsidTr="00F3562F">
        <w:trPr>
          <w:trHeight w:val="306"/>
          <w:jc w:val="center"/>
        </w:trPr>
        <w:tc>
          <w:tcPr>
            <w:tcW w:w="2547" w:type="dxa"/>
            <w:vMerge/>
          </w:tcPr>
          <w:p w14:paraId="567F7C92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2410" w:type="dxa"/>
            <w:vMerge/>
          </w:tcPr>
          <w:p w14:paraId="73DABE55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29C4C628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NO</w:t>
            </w:r>
          </w:p>
        </w:tc>
        <w:tc>
          <w:tcPr>
            <w:tcW w:w="1956" w:type="dxa"/>
          </w:tcPr>
          <w:p w14:paraId="7CF2A8FF" w14:textId="77777777" w:rsidR="00872B97" w:rsidRPr="00882712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SÍ</w:t>
            </w:r>
          </w:p>
        </w:tc>
      </w:tr>
      <w:tr w:rsidR="00872B97" w14:paraId="7A0D2DAC" w14:textId="77777777" w:rsidTr="00F3562F">
        <w:trPr>
          <w:trHeight w:val="1234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CF54B7A" w14:textId="77777777" w:rsidR="00872B97" w:rsidRPr="001E05F8" w:rsidRDefault="00872B97" w:rsidP="00F3562F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E05F8">
              <w:rPr>
                <w:rFonts w:ascii="Montserrat Light" w:hAnsi="Montserrat Light"/>
              </w:rPr>
              <w:t>Integrar la proposición al procedimiento</w:t>
            </w:r>
          </w:p>
          <w:p w14:paraId="595D43B6" w14:textId="77777777" w:rsidR="00872B97" w:rsidRDefault="00872B97" w:rsidP="00F3562F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1E05F8">
              <w:rPr>
                <w:rFonts w:ascii="Montserrat Light" w:hAnsi="Montserrat Light"/>
              </w:rPr>
              <w:t>de contratación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69FB8664" w14:textId="0E9A8ADF" w:rsidR="00872B97" w:rsidRDefault="00872B97" w:rsidP="00F3562F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882712">
              <w:rPr>
                <w:rFonts w:ascii="Montserrat Light" w:hAnsi="Montserrat Light"/>
                <w:b/>
                <w:bCs/>
              </w:rPr>
              <w:t>Proveedor que es persona física</w:t>
            </w:r>
            <w:r w:rsidRPr="00A074A7">
              <w:rPr>
                <w:rFonts w:ascii="Montserrat Light" w:hAnsi="Montserrat Light"/>
              </w:rPr>
              <w:t>: acta de nacimiento,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identificación oficial vigente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con fotografía, R</w:t>
            </w:r>
            <w:r>
              <w:rPr>
                <w:rFonts w:ascii="Montserrat Light" w:hAnsi="Montserrat Light"/>
              </w:rPr>
              <w:t>egistro Federal de Contribuyentes</w:t>
            </w:r>
            <w:r w:rsidRPr="00A074A7">
              <w:rPr>
                <w:rFonts w:ascii="Montserrat Light" w:hAnsi="Montserrat Light"/>
              </w:rPr>
              <w:t>,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comprobante de domicilio (a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nombre del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proveedor) y datos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patrimoniales y/o financieros.</w:t>
            </w:r>
          </w:p>
          <w:p w14:paraId="715F8C08" w14:textId="50464435" w:rsidR="00872B97" w:rsidRDefault="00872B97" w:rsidP="00F3562F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1E05F8">
              <w:rPr>
                <w:rFonts w:ascii="Montserrat Light" w:hAnsi="Montserrat Light"/>
                <w:b/>
                <w:bCs/>
              </w:rPr>
              <w:t>Proveedor que es una persona moral:</w:t>
            </w:r>
            <w:r w:rsidRPr="00A074A7">
              <w:rPr>
                <w:rFonts w:ascii="Montserrat Light" w:hAnsi="Montserrat Light"/>
              </w:rPr>
              <w:t xml:space="preserve"> acta constitutiva y sus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reformas, en la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que conste que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se constituyó conforme a las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 xml:space="preserve">leyes mexicanas y que </w:t>
            </w:r>
            <w:r w:rsidRPr="00A074A7">
              <w:rPr>
                <w:rFonts w:ascii="Montserrat Light" w:hAnsi="Montserrat Light"/>
              </w:rPr>
              <w:lastRenderedPageBreak/>
              <w:t>tiene su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domicilio en el territorio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nacional, R</w:t>
            </w:r>
            <w:r>
              <w:rPr>
                <w:rFonts w:ascii="Montserrat Light" w:hAnsi="Montserrat Light"/>
              </w:rPr>
              <w:t>egistro Federal de Contribuyentes</w:t>
            </w:r>
            <w:r w:rsidRPr="00A074A7">
              <w:rPr>
                <w:rFonts w:ascii="Montserrat Light" w:hAnsi="Montserrat Light"/>
              </w:rPr>
              <w:t xml:space="preserve">, </w:t>
            </w:r>
            <w:r>
              <w:rPr>
                <w:rFonts w:ascii="Montserrat Light" w:hAnsi="Montserrat Light"/>
              </w:rPr>
              <w:t>T</w:t>
            </w:r>
            <w:r w:rsidRPr="00845322">
              <w:rPr>
                <w:rFonts w:ascii="Montserrat Light" w:hAnsi="Montserrat Light"/>
              </w:rPr>
              <w:t xml:space="preserve">estimonio notarial </w:t>
            </w:r>
            <w:r>
              <w:rPr>
                <w:rFonts w:ascii="Montserrat Light" w:hAnsi="Montserrat Light"/>
              </w:rPr>
              <w:t xml:space="preserve">en que el conste que el representante legal tiene poder suficiente para la suscripción el instrumento jurídico, </w:t>
            </w:r>
            <w:r w:rsidRPr="00A074A7">
              <w:rPr>
                <w:rFonts w:ascii="Montserrat Light" w:hAnsi="Montserrat Light"/>
              </w:rPr>
              <w:t>identificación oficial vigente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con fotografía y firma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de quien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suscribirá el instrumento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jurídico, comprobante de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domicilio (a nombre del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Proveedor) y datos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patrimoniales y/o financieros.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14:paraId="328EF6D4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5D618105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  <w:p w14:paraId="0294A5D1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62394C45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4CA76F0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72A0642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  <w:p w14:paraId="6E26B96E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6C870886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3B57FB9C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2762CE1F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1501B0E5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3EDAC19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423DFA05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798C09B6" w14:textId="5EAD5DDE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14:paraId="0C5D803C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872B97" w14:paraId="42C20FB5" w14:textId="77777777" w:rsidTr="00F3562F">
        <w:trPr>
          <w:trHeight w:val="316"/>
          <w:jc w:val="center"/>
        </w:trPr>
        <w:tc>
          <w:tcPr>
            <w:tcW w:w="2547" w:type="dxa"/>
          </w:tcPr>
          <w:p w14:paraId="669E224F" w14:textId="331FEC1A" w:rsidR="00872B97" w:rsidRDefault="00872B97" w:rsidP="00F3562F">
            <w:pPr>
              <w:spacing w:after="160" w:line="276" w:lineRule="auto"/>
              <w:jc w:val="both"/>
              <w:rPr>
                <w:rFonts w:ascii="Montserrat Light" w:hAnsi="Montserrat Light"/>
              </w:rPr>
            </w:pPr>
            <w:r w:rsidRPr="00A074A7">
              <w:rPr>
                <w:rFonts w:ascii="Montserrat Light" w:hAnsi="Montserrat Light"/>
              </w:rPr>
              <w:t>Llevar a cabo la evaluación de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proposiciones en los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procedimientos de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contratación.</w:t>
            </w:r>
          </w:p>
        </w:tc>
        <w:tc>
          <w:tcPr>
            <w:tcW w:w="2410" w:type="dxa"/>
            <w:vMerge/>
          </w:tcPr>
          <w:p w14:paraId="5B97103B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659" w:type="dxa"/>
            <w:vMerge/>
          </w:tcPr>
          <w:p w14:paraId="4D5697FA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253" w:type="dxa"/>
            <w:gridSpan w:val="2"/>
            <w:vMerge/>
          </w:tcPr>
          <w:p w14:paraId="0E1124EB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872B97" w14:paraId="4FCF1E30" w14:textId="77777777" w:rsidTr="00F3562F">
        <w:trPr>
          <w:trHeight w:val="316"/>
          <w:jc w:val="center"/>
        </w:trPr>
        <w:tc>
          <w:tcPr>
            <w:tcW w:w="2547" w:type="dxa"/>
          </w:tcPr>
          <w:p w14:paraId="29E15F68" w14:textId="77777777" w:rsidR="00872B97" w:rsidRPr="00A074A7" w:rsidRDefault="00872B97" w:rsidP="00F3562F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074A7">
              <w:rPr>
                <w:rFonts w:ascii="Montserrat Light" w:hAnsi="Montserrat Light"/>
              </w:rPr>
              <w:t>Elaborar los pedidos o contratos que se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deriven de los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procedimientos de</w:t>
            </w:r>
            <w:r>
              <w:rPr>
                <w:rFonts w:ascii="Montserrat Light" w:hAnsi="Montserrat Light"/>
              </w:rPr>
              <w:t xml:space="preserve"> </w:t>
            </w:r>
            <w:r w:rsidRPr="00A074A7">
              <w:rPr>
                <w:rFonts w:ascii="Montserrat Light" w:hAnsi="Montserrat Light"/>
              </w:rPr>
              <w:t>contratación.</w:t>
            </w:r>
          </w:p>
          <w:p w14:paraId="4615EBA7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10" w:type="dxa"/>
            <w:vMerge/>
          </w:tcPr>
          <w:p w14:paraId="51FE3B76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659" w:type="dxa"/>
            <w:vMerge/>
          </w:tcPr>
          <w:p w14:paraId="213BF6E2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253" w:type="dxa"/>
            <w:gridSpan w:val="2"/>
            <w:vMerge/>
          </w:tcPr>
          <w:p w14:paraId="147B0DDA" w14:textId="77777777" w:rsidR="00872B97" w:rsidRDefault="00872B97" w:rsidP="00F3562F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</w:tbl>
    <w:p w14:paraId="57C607E7" w14:textId="77777777" w:rsidR="00872B97" w:rsidRDefault="00872B97" w:rsidP="00872B97">
      <w:pPr>
        <w:spacing w:line="276" w:lineRule="auto"/>
        <w:jc w:val="both"/>
        <w:rPr>
          <w:rFonts w:ascii="Montserrat Light" w:hAnsi="Montserrat Light"/>
        </w:rPr>
      </w:pPr>
    </w:p>
    <w:p w14:paraId="6DBF95BA" w14:textId="4C493B24" w:rsidR="008368EE" w:rsidRPr="00A074A7" w:rsidRDefault="00363DDC" w:rsidP="00363DDC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Se hace de su conocimiento que la FND no realizará transferencias de datos personales, salvo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aquellas que sean necesarias para atender requerimientos de información de una autoridad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competente, que estén debidamente fundados y motivados.</w:t>
      </w:r>
    </w:p>
    <w:p w14:paraId="5822DCCF" w14:textId="744CEC60" w:rsidR="00363DDC" w:rsidRPr="00A074A7" w:rsidRDefault="00363DDC" w:rsidP="00363DDC">
      <w:pPr>
        <w:spacing w:line="276" w:lineRule="auto"/>
        <w:jc w:val="both"/>
        <w:rPr>
          <w:rFonts w:ascii="Montserrat Light" w:hAnsi="Montserrat Light"/>
        </w:rPr>
      </w:pPr>
      <w:r w:rsidRPr="00363DDC">
        <w:rPr>
          <w:rFonts w:ascii="Montserrat Light" w:hAnsi="Montserrat Light"/>
        </w:rPr>
        <w:t>Usted podrá consultar el Aviso de Privacidad Integral en la siguiente dirección electrónica:</w:t>
      </w:r>
      <w:r>
        <w:rPr>
          <w:rFonts w:ascii="Montserrat Light" w:hAnsi="Montserrat Light"/>
        </w:rPr>
        <w:t xml:space="preserve"> </w:t>
      </w:r>
      <w:r w:rsidRPr="00363DDC">
        <w:rPr>
          <w:rFonts w:ascii="Montserrat Light" w:hAnsi="Montserrat Light"/>
        </w:rPr>
        <w:t>https://terfin.fnd.gob.mx/transparencia/ o bien de manera presencial en las instalaciones de la FND ubicadas en</w:t>
      </w:r>
      <w:r>
        <w:rPr>
          <w:rFonts w:ascii="Montserrat Light" w:hAnsi="Montserrat Light"/>
        </w:rPr>
        <w:t xml:space="preserve"> </w:t>
      </w:r>
      <w:r w:rsidRPr="00363DDC">
        <w:rPr>
          <w:rFonts w:ascii="Montserrat Light" w:hAnsi="Montserrat Light"/>
        </w:rPr>
        <w:t>Agrarismo No. 227, Col. Escandón, Alc</w:t>
      </w:r>
      <w:r w:rsidR="00872B97">
        <w:rPr>
          <w:rFonts w:ascii="Montserrat Light" w:hAnsi="Montserrat Light"/>
        </w:rPr>
        <w:t>aldía</w:t>
      </w:r>
      <w:r w:rsidRPr="00363DDC">
        <w:rPr>
          <w:rFonts w:ascii="Montserrat Light" w:hAnsi="Montserrat Light"/>
        </w:rPr>
        <w:t xml:space="preserve"> Miguel Hidalgo, C.P. 11800, Ciudad de México, directamente ante la</w:t>
      </w:r>
      <w:r>
        <w:rPr>
          <w:rFonts w:ascii="Montserrat Light" w:hAnsi="Montserrat Light"/>
        </w:rPr>
        <w:t xml:space="preserve"> </w:t>
      </w:r>
      <w:r w:rsidRPr="00363DDC">
        <w:rPr>
          <w:rFonts w:ascii="Montserrat Light" w:hAnsi="Montserrat Light"/>
        </w:rPr>
        <w:t>Dirección Ejecutiva de Recursos Materiales y Servicios.</w:t>
      </w:r>
      <w:r w:rsidRPr="00363DDC">
        <w:rPr>
          <w:rFonts w:ascii="Montserrat Light" w:hAnsi="Montserrat Light"/>
        </w:rPr>
        <w:cr/>
      </w:r>
    </w:p>
    <w:p w14:paraId="4C7DC485" w14:textId="77777777" w:rsidR="00363DDC" w:rsidRDefault="00363DDC" w:rsidP="00363DDC">
      <w:pPr>
        <w:spacing w:line="276" w:lineRule="auto"/>
        <w:jc w:val="right"/>
        <w:rPr>
          <w:rFonts w:ascii="Montserrat Light" w:hAnsi="Montserrat Light"/>
          <w:highlight w:val="yellow"/>
        </w:rPr>
      </w:pPr>
    </w:p>
    <w:sectPr w:rsidR="00363DDC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92D1" w14:textId="77777777" w:rsidR="00211355" w:rsidRDefault="00211355">
      <w:pPr>
        <w:spacing w:after="0" w:line="240" w:lineRule="auto"/>
      </w:pPr>
      <w:r>
        <w:separator/>
      </w:r>
    </w:p>
  </w:endnote>
  <w:endnote w:type="continuationSeparator" w:id="0">
    <w:p w14:paraId="5238EE32" w14:textId="77777777" w:rsidR="00211355" w:rsidRDefault="0021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4F5A" w14:textId="77777777" w:rsidR="00211355" w:rsidRDefault="00211355">
      <w:pPr>
        <w:spacing w:after="0" w:line="240" w:lineRule="auto"/>
      </w:pPr>
      <w:r>
        <w:separator/>
      </w:r>
    </w:p>
  </w:footnote>
  <w:footnote w:type="continuationSeparator" w:id="0">
    <w:p w14:paraId="21999D5A" w14:textId="77777777" w:rsidR="00211355" w:rsidRDefault="0021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2C2B" w14:textId="77777777" w:rsidR="00DC5937" w:rsidRDefault="00363DDC" w:rsidP="00DC5937">
    <w:pPr>
      <w:pStyle w:val="Encabezado"/>
      <w:jc w:val="right"/>
    </w:pPr>
    <w:r>
      <w:rPr>
        <w:noProof/>
      </w:rPr>
      <w:drawing>
        <wp:inline distT="0" distB="0" distL="0" distR="0" wp14:anchorId="779BEF1F" wp14:editId="34315DB7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DC"/>
    <w:rsid w:val="00211355"/>
    <w:rsid w:val="00363DDC"/>
    <w:rsid w:val="006F13AA"/>
    <w:rsid w:val="006F36CA"/>
    <w:rsid w:val="007122BF"/>
    <w:rsid w:val="008368EE"/>
    <w:rsid w:val="00872B97"/>
    <w:rsid w:val="0087656F"/>
    <w:rsid w:val="00885BC3"/>
    <w:rsid w:val="008966D7"/>
    <w:rsid w:val="00D006E0"/>
    <w:rsid w:val="00D8648F"/>
    <w:rsid w:val="00E273F5"/>
    <w:rsid w:val="00E6031A"/>
    <w:rsid w:val="00E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7F2"/>
  <w15:chartTrackingRefBased/>
  <w15:docId w15:val="{A26A55A0-EF1B-454A-8758-CA4C981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DDC"/>
  </w:style>
  <w:style w:type="table" w:styleId="Tablaconcuadrcula">
    <w:name w:val="Table Grid"/>
    <w:basedOn w:val="Tablanormal"/>
    <w:uiPriority w:val="39"/>
    <w:rsid w:val="003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8</cp:revision>
  <dcterms:created xsi:type="dcterms:W3CDTF">2023-03-16T20:22:00Z</dcterms:created>
  <dcterms:modified xsi:type="dcterms:W3CDTF">2023-03-21T17:05:00Z</dcterms:modified>
</cp:coreProperties>
</file>