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09" w:rsidRPr="00A46848" w:rsidRDefault="00EE0909" w:rsidP="00EE0909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Georgia" w:hAnsi="Georgia"/>
          <w:b/>
          <w:color w:val="404040"/>
          <w:sz w:val="20"/>
          <w:szCs w:val="20"/>
        </w:rPr>
      </w:pPr>
      <w:r w:rsidRPr="00A46848">
        <w:rPr>
          <w:rFonts w:ascii="Georgia" w:hAnsi="Georgia"/>
          <w:b/>
          <w:color w:val="404040"/>
          <w:sz w:val="20"/>
          <w:szCs w:val="20"/>
        </w:rPr>
        <w:t>COMISIÓN NACIONAL BANCARIA Y DE VALORES</w:t>
      </w:r>
    </w:p>
    <w:p w:rsidR="00EE0909" w:rsidRPr="00A46848" w:rsidRDefault="00EE0909" w:rsidP="00EE0909">
      <w:pPr>
        <w:pStyle w:val="Default"/>
        <w:tabs>
          <w:tab w:val="left" w:pos="709"/>
        </w:tabs>
        <w:ind w:left="360"/>
        <w:jc w:val="both"/>
        <w:rPr>
          <w:rFonts w:ascii="Soberana Sans" w:hAnsi="Soberana Sans"/>
          <w:color w:val="404040"/>
          <w:sz w:val="20"/>
          <w:szCs w:val="20"/>
        </w:rPr>
      </w:pPr>
    </w:p>
    <w:p w:rsidR="00B108BB" w:rsidRPr="00A46848" w:rsidRDefault="00B108BB" w:rsidP="00B108BB">
      <w:pPr>
        <w:pStyle w:val="Prrafodelista"/>
        <w:numPr>
          <w:ilvl w:val="0"/>
          <w:numId w:val="3"/>
        </w:numPr>
        <w:jc w:val="both"/>
        <w:rPr>
          <w:rFonts w:ascii="Montserrat Light" w:hAnsi="Montserrat Light"/>
          <w:b/>
          <w:color w:val="404040" w:themeColor="text1" w:themeTint="BF"/>
          <w:sz w:val="20"/>
          <w:szCs w:val="20"/>
        </w:rPr>
      </w:pPr>
      <w:r w:rsidRPr="00A46848">
        <w:rPr>
          <w:rFonts w:ascii="Montserrat Light" w:hAnsi="Montserrat Light"/>
          <w:b/>
          <w:color w:val="404040" w:themeColor="text1" w:themeTint="BF"/>
          <w:sz w:val="20"/>
          <w:szCs w:val="20"/>
        </w:rPr>
        <w:t>VISITA DE INSPECCIÓN ORDIANRIA 2019</w:t>
      </w:r>
    </w:p>
    <w:p w:rsidR="00B108BB" w:rsidRPr="00A46848" w:rsidRDefault="00B108BB" w:rsidP="00B108BB">
      <w:pPr>
        <w:pStyle w:val="Normal1"/>
        <w:rPr>
          <w:color w:val="404040" w:themeColor="text1" w:themeTint="BF"/>
          <w:sz w:val="20"/>
          <w:szCs w:val="20"/>
        </w:rPr>
      </w:pPr>
    </w:p>
    <w:p w:rsidR="00B108BB" w:rsidRPr="00A46848" w:rsidRDefault="00B108BB" w:rsidP="00B108BB">
      <w:pPr>
        <w:pStyle w:val="Normal1"/>
        <w:rPr>
          <w:color w:val="404040" w:themeColor="text1" w:themeTint="BF"/>
          <w:sz w:val="20"/>
          <w:szCs w:val="20"/>
        </w:rPr>
      </w:pPr>
      <w:r w:rsidRPr="00A46848">
        <w:rPr>
          <w:color w:val="404040" w:themeColor="text1" w:themeTint="BF"/>
          <w:sz w:val="20"/>
          <w:szCs w:val="20"/>
        </w:rPr>
        <w:t xml:space="preserve">Mediante oficio 122-3/4556/2019 de fecha 5 de junio de 2019, la CNBV comunicó </w:t>
      </w:r>
      <w:r w:rsidR="00846783">
        <w:rPr>
          <w:color w:val="404040" w:themeColor="text1" w:themeTint="BF"/>
          <w:sz w:val="20"/>
          <w:szCs w:val="20"/>
        </w:rPr>
        <w:t xml:space="preserve">9 </w:t>
      </w:r>
      <w:r w:rsidRPr="00A46848">
        <w:rPr>
          <w:color w:val="404040" w:themeColor="text1" w:themeTint="BF"/>
          <w:sz w:val="20"/>
          <w:szCs w:val="20"/>
        </w:rPr>
        <w:t xml:space="preserve">observaciones y </w:t>
      </w:r>
      <w:r w:rsidR="00846783">
        <w:rPr>
          <w:color w:val="404040" w:themeColor="text1" w:themeTint="BF"/>
          <w:sz w:val="20"/>
          <w:szCs w:val="20"/>
        </w:rPr>
        <w:t xml:space="preserve">11 </w:t>
      </w:r>
      <w:r w:rsidRPr="00A46848">
        <w:rPr>
          <w:color w:val="404040" w:themeColor="text1" w:themeTint="BF"/>
          <w:sz w:val="20"/>
          <w:szCs w:val="20"/>
        </w:rPr>
        <w:t>recomendaciones, generadas como resultado de dicha Visita, las cuales se presentan a continuación:</w:t>
      </w:r>
    </w:p>
    <w:p w:rsidR="00B108BB" w:rsidRPr="00F00A9B" w:rsidRDefault="00B108BB" w:rsidP="00B108BB">
      <w:pPr>
        <w:pStyle w:val="Normal1"/>
        <w:rPr>
          <w:color w:val="404040" w:themeColor="text1" w:themeTint="BF"/>
          <w:sz w:val="16"/>
          <w:szCs w:val="16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459"/>
      </w:tblGrid>
      <w:tr w:rsidR="00BA0563" w:rsidRPr="00A46848" w:rsidTr="00FC085D">
        <w:trPr>
          <w:trHeight w:val="570"/>
          <w:tblHeader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C19C"/>
            <w:noWrap/>
            <w:vAlign w:val="center"/>
          </w:tcPr>
          <w:p w:rsidR="00BA0563" w:rsidRPr="00A46848" w:rsidRDefault="00BA0563" w:rsidP="005874A2">
            <w:pPr>
              <w:jc w:val="center"/>
              <w:rPr>
                <w:rFonts w:ascii="Montserrat Regular" w:eastAsia="Times New Roman" w:hAnsi="Montserrat Regular" w:cs="Times New Roman"/>
                <w:color w:val="404040" w:themeColor="text1" w:themeTint="BF"/>
                <w:sz w:val="18"/>
                <w:szCs w:val="18"/>
                <w:lang w:val="en-US"/>
              </w:rPr>
            </w:pPr>
            <w:r w:rsidRPr="00A46848">
              <w:rPr>
                <w:rFonts w:ascii="Montserrat Regular" w:hAnsi="Montserrat Regular"/>
                <w:color w:val="FFFFFF" w:themeColor="background1"/>
                <w:sz w:val="18"/>
                <w:szCs w:val="18"/>
              </w:rPr>
              <w:t xml:space="preserve">Observaciones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C19C"/>
            <w:vAlign w:val="center"/>
          </w:tcPr>
          <w:p w:rsidR="00BA0563" w:rsidRPr="00A46848" w:rsidRDefault="00BA0563" w:rsidP="005874A2">
            <w:pPr>
              <w:jc w:val="center"/>
              <w:rPr>
                <w:rFonts w:ascii="Montserrat Regular" w:eastAsia="Times New Roman" w:hAnsi="Montserrat Regular" w:cs="Times New Roman"/>
                <w:color w:val="404040" w:themeColor="text1" w:themeTint="BF"/>
                <w:sz w:val="18"/>
                <w:szCs w:val="18"/>
                <w:lang w:val="en-US"/>
              </w:rPr>
            </w:pPr>
            <w:r w:rsidRPr="00A46848">
              <w:rPr>
                <w:rFonts w:ascii="Montserrat Regular" w:hAnsi="Montserrat Regular"/>
                <w:color w:val="FFFFFF" w:themeColor="background1"/>
                <w:sz w:val="18"/>
                <w:szCs w:val="18"/>
              </w:rPr>
              <w:t>Recomendaciones</w:t>
            </w:r>
          </w:p>
        </w:tc>
      </w:tr>
      <w:tr w:rsidR="002F115E" w:rsidRPr="002F115E" w:rsidTr="00FC085D">
        <w:trPr>
          <w:trHeight w:val="105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BA0563" w:rsidRPr="002F115E" w:rsidRDefault="00BA0563" w:rsidP="00B108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2F115E">
              <w:rPr>
                <w:rFonts w:ascii="Montserrat Regular" w:hAnsi="Montserrat Regular"/>
                <w:sz w:val="18"/>
                <w:szCs w:val="18"/>
              </w:rPr>
              <w:t>Operaciones de crédito sin supervisión previa.</w:t>
            </w:r>
          </w:p>
          <w:p w:rsidR="00BA0563" w:rsidRPr="002F115E" w:rsidRDefault="00BA0563" w:rsidP="005874A2">
            <w:pPr>
              <w:jc w:val="both"/>
              <w:rPr>
                <w:rFonts w:ascii="Montserrat Regular" w:eastAsia="Times New Roman" w:hAnsi="Montserrat Regular" w:cs="Times New Roman"/>
                <w:sz w:val="18"/>
                <w:szCs w:val="18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2F115E" w:rsidRDefault="00BA0563" w:rsidP="00B108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2F115E">
              <w:rPr>
                <w:rFonts w:ascii="Montserrat Regular" w:hAnsi="Montserrat Regular"/>
                <w:sz w:val="18"/>
                <w:szCs w:val="18"/>
              </w:rPr>
              <w:t>Fortalecer la actividad de supervisión y seguimiento al proceso de crédito.</w:t>
            </w:r>
          </w:p>
        </w:tc>
      </w:tr>
      <w:tr w:rsidR="00BA0563" w:rsidRPr="00A46848" w:rsidTr="00FC085D">
        <w:trPr>
          <w:trHeight w:val="600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No se verificó el destino de los recursos de 28 créditos otorgados.</w:t>
            </w:r>
            <w:bookmarkStart w:id="0" w:name="_GoBack"/>
            <w:bookmarkEnd w:id="0"/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No hay plazos definidos para que los clientes solventen las observaciones derivadas de informes de supervisión con resultado “positivo con áreas de oportunidad (PAO)” o “negativo”.</w:t>
            </w:r>
          </w:p>
        </w:tc>
      </w:tr>
      <w:tr w:rsidR="00BA0563" w:rsidRPr="00A46848" w:rsidTr="00FC085D">
        <w:trPr>
          <w:trHeight w:val="600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Conflicto de interés en la realización de la supervisión de acompañamiento.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Fortalecer las actividades que propicien el cumplimiento de la normatividad en la realización de las operaciones a cargo de la contraloría interna.</w:t>
            </w:r>
          </w:p>
        </w:tc>
      </w:tr>
      <w:tr w:rsidR="00BA0563" w:rsidRPr="00A46848" w:rsidTr="00FC085D">
        <w:trPr>
          <w:trHeight w:val="600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Falta de póliza de seguro o constancias de aseguramiento en 48 operaciones de crédito.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Fortalecer el procedimiento para la integración, mantenimiento y custodia del “expediente de crédito único”.</w:t>
            </w:r>
          </w:p>
        </w:tc>
      </w:tr>
      <w:tr w:rsidR="00BA0563" w:rsidRPr="00A46848" w:rsidTr="00FC085D">
        <w:trPr>
          <w:trHeight w:val="600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Requisición incompleta de formatos para incorporación de intermediario financiero no bancario.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Grado de riesgo de las deficiencias o desviaciones de auditoría interna sin considerar el art. 108 de la LIC.</w:t>
            </w:r>
          </w:p>
        </w:tc>
      </w:tr>
      <w:tr w:rsidR="00BA0563" w:rsidRPr="00A46848" w:rsidTr="00FC085D">
        <w:trPr>
          <w:trHeight w:val="600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Procedimientos aplicables al proceso de crédito desactualizados.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Archivo de Excel para el seguimiento de hallazgos de auditoría desactualizado y con información incompleta.</w:t>
            </w:r>
          </w:p>
        </w:tc>
      </w:tr>
      <w:tr w:rsidR="00BA0563" w:rsidRPr="00A46848" w:rsidTr="00FC085D">
        <w:trPr>
          <w:trHeight w:val="600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Omisión en la realización de funciones adicionales a las de control y de auditoría interna en materia de crédito.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No se realiza una adecuada cobranza preventiva, administrativa y extrajudicial.</w:t>
            </w:r>
          </w:p>
        </w:tc>
      </w:tr>
      <w:tr w:rsidR="00BA0563" w:rsidRPr="00A46848" w:rsidTr="00FC085D">
        <w:trPr>
          <w:trHeight w:val="600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Compendio de políticas y procedimientos de auditoría interna incompleto.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Plazo reducido para el protesto de bonos de prenda de “operaciones” prendarias no liquidadas.</w:t>
            </w:r>
          </w:p>
        </w:tc>
      </w:tr>
      <w:tr w:rsidR="00BA0563" w:rsidRPr="00A46848" w:rsidTr="00FC085D">
        <w:trPr>
          <w:trHeight w:val="600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Auditoría interna no da seguimiento oportuno a las desviaciones relativas a la operación de la financiera.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A0563" w:rsidRPr="00A46848" w:rsidRDefault="00BA0563" w:rsidP="00B108B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Fideicomisos sin operación.</w:t>
            </w:r>
          </w:p>
        </w:tc>
      </w:tr>
      <w:tr w:rsidR="00FC085D" w:rsidRPr="00A46848" w:rsidTr="00FC085D">
        <w:trPr>
          <w:trHeight w:val="600"/>
          <w:jc w:val="center"/>
        </w:trPr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FC085D" w:rsidRPr="00A46848" w:rsidRDefault="00FC085D" w:rsidP="005874A2">
            <w:pPr>
              <w:ind w:left="-39"/>
              <w:jc w:val="both"/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085D" w:rsidRPr="00A46848" w:rsidRDefault="00FC085D" w:rsidP="00B108B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Determinación de honorarios fiduciarios de forma manual.</w:t>
            </w:r>
          </w:p>
        </w:tc>
      </w:tr>
      <w:tr w:rsidR="00FC085D" w:rsidRPr="00A46848" w:rsidTr="00FC085D">
        <w:trPr>
          <w:trHeight w:val="600"/>
          <w:jc w:val="center"/>
        </w:trPr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085D" w:rsidRPr="00A46848" w:rsidRDefault="00FC085D" w:rsidP="005874A2">
            <w:pPr>
              <w:ind w:left="-39"/>
              <w:jc w:val="both"/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085D" w:rsidRPr="00A46848" w:rsidRDefault="00FC085D" w:rsidP="00B108B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Montserrat Regular" w:hAnsi="Montserrat Regular"/>
                <w:sz w:val="18"/>
                <w:szCs w:val="18"/>
              </w:rPr>
            </w:pPr>
            <w:r w:rsidRPr="00A46848">
              <w:rPr>
                <w:rFonts w:ascii="Montserrat Regular" w:hAnsi="Montserrat Regular"/>
                <w:sz w:val="18"/>
                <w:szCs w:val="18"/>
              </w:rPr>
              <w:t>Inventario de inmuebles y certificados de depósito en archivo de Excel.</w:t>
            </w:r>
          </w:p>
        </w:tc>
      </w:tr>
    </w:tbl>
    <w:p w:rsidR="00EE0909" w:rsidRPr="00F955D7" w:rsidRDefault="00EE0909" w:rsidP="00F00A9B">
      <w:pPr>
        <w:pStyle w:val="Default"/>
        <w:tabs>
          <w:tab w:val="left" w:pos="284"/>
        </w:tabs>
        <w:jc w:val="both"/>
        <w:rPr>
          <w:rFonts w:ascii="Soberana Sans" w:hAnsi="Soberana Sans"/>
          <w:b/>
          <w:color w:val="404040"/>
          <w:sz w:val="16"/>
          <w:szCs w:val="16"/>
        </w:rPr>
      </w:pPr>
    </w:p>
    <w:sectPr w:rsidR="00EE0909" w:rsidRPr="00F955D7" w:rsidSect="00FC085D">
      <w:headerReference w:type="default" r:id="rId7"/>
      <w:footerReference w:type="default" r:id="rId8"/>
      <w:pgSz w:w="12240" w:h="15840"/>
      <w:pgMar w:top="1134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68" w:rsidRDefault="004F7168" w:rsidP="0067582C">
      <w:r>
        <w:separator/>
      </w:r>
    </w:p>
  </w:endnote>
  <w:endnote w:type="continuationSeparator" w:id="0">
    <w:p w:rsidR="004F7168" w:rsidRDefault="004F7168" w:rsidP="0067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Regular">
    <w:altName w:val="Sitka Small"/>
    <w:charset w:val="00"/>
    <w:family w:val="auto"/>
    <w:pitch w:val="variable"/>
    <w:sig w:usb0="00000001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158" w:rsidRDefault="00EA12E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F239230" wp14:editId="12AC36FF">
          <wp:simplePos x="0" y="0"/>
          <wp:positionH relativeFrom="margin">
            <wp:posOffset>-1054735</wp:posOffset>
          </wp:positionH>
          <wp:positionV relativeFrom="paragraph">
            <wp:posOffset>-2328545</wp:posOffset>
          </wp:positionV>
          <wp:extent cx="7802880" cy="2926080"/>
          <wp:effectExtent l="0" t="0" r="762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862" cy="292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68" w:rsidRDefault="004F7168" w:rsidP="0067582C">
      <w:r>
        <w:separator/>
      </w:r>
    </w:p>
  </w:footnote>
  <w:footnote w:type="continuationSeparator" w:id="0">
    <w:p w:rsidR="004F7168" w:rsidRDefault="004F7168" w:rsidP="0067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EB" w:rsidRDefault="00EA12E3" w:rsidP="00610CEB">
    <w:pPr>
      <w:jc w:val="center"/>
      <w:rPr>
        <w:rFonts w:ascii="Palatino Linotype" w:hAnsi="Palatino Linotype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BE9377" wp14:editId="252C0177">
          <wp:simplePos x="0" y="0"/>
          <wp:positionH relativeFrom="page">
            <wp:posOffset>11430</wp:posOffset>
          </wp:positionH>
          <wp:positionV relativeFrom="paragraph">
            <wp:posOffset>-546630</wp:posOffset>
          </wp:positionV>
          <wp:extent cx="7760970" cy="11811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0CEB" w:rsidRDefault="002F115E" w:rsidP="00610CEB">
    <w:pPr>
      <w:jc w:val="center"/>
      <w:rPr>
        <w:rFonts w:ascii="Palatino Linotype" w:hAnsi="Palatino Linotype"/>
      </w:rPr>
    </w:pPr>
  </w:p>
  <w:p w:rsidR="00610CEB" w:rsidRDefault="002F115E" w:rsidP="00610CEB">
    <w:pPr>
      <w:jc w:val="center"/>
      <w:rPr>
        <w:rFonts w:ascii="Palatino Linotype" w:hAnsi="Palatino Linotype"/>
      </w:rPr>
    </w:pPr>
  </w:p>
  <w:p w:rsidR="00610CEB" w:rsidRDefault="00EA12E3" w:rsidP="00610CEB">
    <w:pPr>
      <w:jc w:val="center"/>
      <w:rPr>
        <w:rFonts w:ascii="Palatino Linotype" w:hAnsi="Palatino Linotype"/>
      </w:rPr>
    </w:pPr>
    <w:r>
      <w:rPr>
        <w:rFonts w:ascii="Palatino Linotype" w:hAnsi="Palatino Linotype"/>
      </w:rPr>
      <w:t>“2019, Año del Caudillo del Sur, Emiliano Zapata”</w:t>
    </w:r>
  </w:p>
  <w:p w:rsidR="00FC085D" w:rsidRDefault="00FC085D" w:rsidP="00FC085D">
    <w:pPr>
      <w:pStyle w:val="Encabezado"/>
      <w:tabs>
        <w:tab w:val="left" w:pos="9781"/>
      </w:tabs>
      <w:ind w:left="-709"/>
      <w:rPr>
        <w:rFonts w:ascii="Montserrat Light" w:hAnsi="Montserrat Light"/>
        <w:b/>
        <w:color w:val="404040"/>
        <w:sz w:val="18"/>
        <w:szCs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4105C7" wp14:editId="6D876B12">
              <wp:simplePos x="0" y="0"/>
              <wp:positionH relativeFrom="column">
                <wp:posOffset>-403860</wp:posOffset>
              </wp:positionH>
              <wp:positionV relativeFrom="paragraph">
                <wp:posOffset>162086</wp:posOffset>
              </wp:positionV>
              <wp:extent cx="6705600" cy="0"/>
              <wp:effectExtent l="0" t="19050" r="38100" b="381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rgbClr val="D4C19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16A1C3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12.75pt" to="49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" strokecolor="#d4c19c" strokeweight="4.5pt">
              <v:stroke linestyle="thickThin" joinstyle="miter"/>
            </v:line>
          </w:pict>
        </mc:Fallback>
      </mc:AlternateContent>
    </w:r>
  </w:p>
  <w:p w:rsidR="00FC085D" w:rsidRDefault="00FC085D" w:rsidP="00610CEB">
    <w:pPr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A72"/>
    <w:multiLevelType w:val="hybridMultilevel"/>
    <w:tmpl w:val="D3ECAAB2"/>
    <w:lvl w:ilvl="0" w:tplc="3770528A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41" w:hanging="360"/>
      </w:pPr>
    </w:lvl>
    <w:lvl w:ilvl="2" w:tplc="080A001B" w:tentative="1">
      <w:start w:val="1"/>
      <w:numFmt w:val="lowerRoman"/>
      <w:lvlText w:val="%3."/>
      <w:lvlJc w:val="right"/>
      <w:pPr>
        <w:ind w:left="1761" w:hanging="180"/>
      </w:pPr>
    </w:lvl>
    <w:lvl w:ilvl="3" w:tplc="080A000F" w:tentative="1">
      <w:start w:val="1"/>
      <w:numFmt w:val="decimal"/>
      <w:lvlText w:val="%4."/>
      <w:lvlJc w:val="left"/>
      <w:pPr>
        <w:ind w:left="2481" w:hanging="360"/>
      </w:pPr>
    </w:lvl>
    <w:lvl w:ilvl="4" w:tplc="080A0019" w:tentative="1">
      <w:start w:val="1"/>
      <w:numFmt w:val="lowerLetter"/>
      <w:lvlText w:val="%5."/>
      <w:lvlJc w:val="left"/>
      <w:pPr>
        <w:ind w:left="3201" w:hanging="360"/>
      </w:pPr>
    </w:lvl>
    <w:lvl w:ilvl="5" w:tplc="080A001B" w:tentative="1">
      <w:start w:val="1"/>
      <w:numFmt w:val="lowerRoman"/>
      <w:lvlText w:val="%6."/>
      <w:lvlJc w:val="right"/>
      <w:pPr>
        <w:ind w:left="3921" w:hanging="180"/>
      </w:pPr>
    </w:lvl>
    <w:lvl w:ilvl="6" w:tplc="080A000F" w:tentative="1">
      <w:start w:val="1"/>
      <w:numFmt w:val="decimal"/>
      <w:lvlText w:val="%7."/>
      <w:lvlJc w:val="left"/>
      <w:pPr>
        <w:ind w:left="4641" w:hanging="360"/>
      </w:pPr>
    </w:lvl>
    <w:lvl w:ilvl="7" w:tplc="080A0019" w:tentative="1">
      <w:start w:val="1"/>
      <w:numFmt w:val="lowerLetter"/>
      <w:lvlText w:val="%8."/>
      <w:lvlJc w:val="left"/>
      <w:pPr>
        <w:ind w:left="5361" w:hanging="360"/>
      </w:pPr>
    </w:lvl>
    <w:lvl w:ilvl="8" w:tplc="080A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" w15:restartNumberingAfterBreak="0">
    <w:nsid w:val="03226983"/>
    <w:multiLevelType w:val="hybridMultilevel"/>
    <w:tmpl w:val="2B04A472"/>
    <w:lvl w:ilvl="0" w:tplc="35E86722">
      <w:start w:val="3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0ABF"/>
    <w:multiLevelType w:val="hybridMultilevel"/>
    <w:tmpl w:val="FB36F936"/>
    <w:lvl w:ilvl="0" w:tplc="DD86D9DA">
      <w:start w:val="5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452A"/>
    <w:multiLevelType w:val="hybridMultilevel"/>
    <w:tmpl w:val="1B500C9A"/>
    <w:lvl w:ilvl="0" w:tplc="7E7A830E">
      <w:start w:val="10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11EF6"/>
    <w:multiLevelType w:val="hybridMultilevel"/>
    <w:tmpl w:val="DF7ADF8C"/>
    <w:lvl w:ilvl="0" w:tplc="DA44E712">
      <w:start w:val="2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BF3"/>
    <w:multiLevelType w:val="hybridMultilevel"/>
    <w:tmpl w:val="90348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31E75"/>
    <w:multiLevelType w:val="multilevel"/>
    <w:tmpl w:val="2DEC0D1A"/>
    <w:lvl w:ilvl="0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Montserrat" w:hAnsi="Montserrat" w:cs="Arial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7628D3"/>
    <w:multiLevelType w:val="hybridMultilevel"/>
    <w:tmpl w:val="E41213FC"/>
    <w:lvl w:ilvl="0" w:tplc="44DE43CE">
      <w:start w:val="9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8090A"/>
    <w:multiLevelType w:val="hybridMultilevel"/>
    <w:tmpl w:val="8C203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F6C50"/>
    <w:multiLevelType w:val="hybridMultilevel"/>
    <w:tmpl w:val="32D6B70E"/>
    <w:lvl w:ilvl="0" w:tplc="7A00B9E2">
      <w:start w:val="6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365A"/>
    <w:multiLevelType w:val="hybridMultilevel"/>
    <w:tmpl w:val="9FE80292"/>
    <w:lvl w:ilvl="0" w:tplc="29CE1228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46706"/>
    <w:multiLevelType w:val="hybridMultilevel"/>
    <w:tmpl w:val="3CE20470"/>
    <w:lvl w:ilvl="0" w:tplc="9CAAB344">
      <w:start w:val="8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2514D"/>
    <w:multiLevelType w:val="hybridMultilevel"/>
    <w:tmpl w:val="8CDC77E2"/>
    <w:lvl w:ilvl="0" w:tplc="413AC688">
      <w:start w:val="4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3021A"/>
    <w:multiLevelType w:val="hybridMultilevel"/>
    <w:tmpl w:val="97263C86"/>
    <w:lvl w:ilvl="0" w:tplc="CE24CDA6">
      <w:start w:val="7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C"/>
    <w:rsid w:val="000A44A5"/>
    <w:rsid w:val="000F7327"/>
    <w:rsid w:val="00181ACF"/>
    <w:rsid w:val="001960EC"/>
    <w:rsid w:val="001B4A02"/>
    <w:rsid w:val="001F536B"/>
    <w:rsid w:val="0020380B"/>
    <w:rsid w:val="002C40D2"/>
    <w:rsid w:val="002F115E"/>
    <w:rsid w:val="0034043F"/>
    <w:rsid w:val="003A00B0"/>
    <w:rsid w:val="00461639"/>
    <w:rsid w:val="004B6702"/>
    <w:rsid w:val="004D2045"/>
    <w:rsid w:val="004F7168"/>
    <w:rsid w:val="00530FEA"/>
    <w:rsid w:val="0067582C"/>
    <w:rsid w:val="006B2205"/>
    <w:rsid w:val="006B463E"/>
    <w:rsid w:val="006C43D8"/>
    <w:rsid w:val="0071572A"/>
    <w:rsid w:val="00715FB6"/>
    <w:rsid w:val="00764A09"/>
    <w:rsid w:val="007F652F"/>
    <w:rsid w:val="00846783"/>
    <w:rsid w:val="0088021D"/>
    <w:rsid w:val="008B1C78"/>
    <w:rsid w:val="008B62A9"/>
    <w:rsid w:val="008F4A92"/>
    <w:rsid w:val="009D6E53"/>
    <w:rsid w:val="00A46848"/>
    <w:rsid w:val="00A5120A"/>
    <w:rsid w:val="00A91683"/>
    <w:rsid w:val="00AD2AD7"/>
    <w:rsid w:val="00B108BB"/>
    <w:rsid w:val="00BA0563"/>
    <w:rsid w:val="00BD0DF4"/>
    <w:rsid w:val="00BD507F"/>
    <w:rsid w:val="00CB7A43"/>
    <w:rsid w:val="00D174EF"/>
    <w:rsid w:val="00DB6313"/>
    <w:rsid w:val="00E52A4A"/>
    <w:rsid w:val="00EA12E3"/>
    <w:rsid w:val="00EE0909"/>
    <w:rsid w:val="00EF16A6"/>
    <w:rsid w:val="00F00A9B"/>
    <w:rsid w:val="00F97610"/>
    <w:rsid w:val="00FC085D"/>
    <w:rsid w:val="00FD348A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8DEDD-511F-400A-ABF0-38058C9B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2C"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7582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582C"/>
    <w:rPr>
      <w:lang w:val="es-MX"/>
    </w:rPr>
  </w:style>
  <w:style w:type="paragraph" w:customStyle="1" w:styleId="SECRETARIADELAFUNCIONPUBLICA">
    <w:name w:val="SECRETARIA DE LA FUNCION PUBLICA"/>
    <w:basedOn w:val="Normal"/>
    <w:rsid w:val="0067582C"/>
    <w:rPr>
      <w:rFonts w:ascii="Arial" w:eastAsia="Batang" w:hAnsi="Arial" w:cs="Times New Roman"/>
      <w:kern w:val="18"/>
      <w:sz w:val="18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758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82C"/>
    <w:rPr>
      <w:sz w:val="24"/>
      <w:szCs w:val="24"/>
      <w:lang w:val="es-MX"/>
    </w:rPr>
  </w:style>
  <w:style w:type="paragraph" w:styleId="Prrafodelista">
    <w:name w:val="List Paragraph"/>
    <w:aliases w:val="Listas,lp1,Bullet 1,List Paragraph Char Char,b1,List Paragraph1,List Paragraph11,Use Case List Paragraph,lp11,Bullet List,FooterText,numbered,Paragraphe de liste1,Bulletr List Paragraph,列出段落,列出段落1,3,List Paragraph-Thesis"/>
    <w:basedOn w:val="Normal"/>
    <w:link w:val="PrrafodelistaCar"/>
    <w:uiPriority w:val="34"/>
    <w:qFormat/>
    <w:rsid w:val="00EF16A6"/>
    <w:pPr>
      <w:ind w:left="720"/>
      <w:contextualSpacing/>
    </w:pPr>
    <w:rPr>
      <w:rFonts w:ascii="Cambria" w:eastAsia="MS Mincho" w:hAnsi="Cambria" w:cs="Times New Roma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2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21D"/>
    <w:rPr>
      <w:rFonts w:ascii="Segoe UI" w:hAnsi="Segoe UI" w:cs="Segoe UI"/>
      <w:sz w:val="18"/>
      <w:szCs w:val="18"/>
      <w:lang w:val="es-MX"/>
    </w:rPr>
  </w:style>
  <w:style w:type="table" w:styleId="Tablaconcuadrcula">
    <w:name w:val="Table Grid"/>
    <w:basedOn w:val="Tablanormal"/>
    <w:uiPriority w:val="59"/>
    <w:rsid w:val="0088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as Car,lp1 Car,Bullet 1 Car,List Paragraph Char Char Car,b1 Car,List Paragraph1 Car,List Paragraph11 Car,Use Case List Paragraph Car,lp11 Car,Bullet List Car,FooterText Car,numbered Car,Paragraphe de liste1 Car,列出段落 Car,3 Car"/>
    <w:link w:val="Prrafodelista"/>
    <w:uiPriority w:val="34"/>
    <w:locked/>
    <w:rsid w:val="00EE0909"/>
    <w:rPr>
      <w:rFonts w:ascii="Cambria" w:eastAsia="MS Mincho" w:hAnsi="Cambria" w:cs="Times New Roman"/>
      <w:sz w:val="24"/>
      <w:szCs w:val="24"/>
      <w:lang w:eastAsia="es-ES"/>
    </w:rPr>
  </w:style>
  <w:style w:type="paragraph" w:customStyle="1" w:styleId="Default">
    <w:name w:val="Default"/>
    <w:rsid w:val="00EE0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customStyle="1" w:styleId="Normal1">
    <w:name w:val="Normal1"/>
    <w:basedOn w:val="Normal"/>
    <w:link w:val="NormalCar"/>
    <w:qFormat/>
    <w:rsid w:val="00B108BB"/>
    <w:pPr>
      <w:jc w:val="both"/>
    </w:pPr>
    <w:rPr>
      <w:rFonts w:ascii="Montserrat Light" w:eastAsiaTheme="minorEastAsia" w:hAnsi="Montserrat Light"/>
      <w:sz w:val="22"/>
      <w:szCs w:val="22"/>
      <w:lang w:val="es-ES_tradnl" w:eastAsia="es-ES"/>
    </w:rPr>
  </w:style>
  <w:style w:type="character" w:customStyle="1" w:styleId="NormalCar">
    <w:name w:val="Normal Car"/>
    <w:basedOn w:val="Fuentedeprrafopredeter"/>
    <w:link w:val="Normal1"/>
    <w:rsid w:val="00B108BB"/>
    <w:rPr>
      <w:rFonts w:ascii="Montserrat Light" w:eastAsiaTheme="minorEastAsia" w:hAnsi="Montserrat Light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68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8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848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8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848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Resendiz Resendiz</dc:creator>
  <cp:keywords/>
  <dc:description/>
  <cp:lastModifiedBy>Mauricio Ramon Trejo Ponce</cp:lastModifiedBy>
  <cp:revision>3</cp:revision>
  <cp:lastPrinted>2019-04-25T16:33:00Z</cp:lastPrinted>
  <dcterms:created xsi:type="dcterms:W3CDTF">2019-07-24T18:12:00Z</dcterms:created>
  <dcterms:modified xsi:type="dcterms:W3CDTF">2019-07-30T23:05:00Z</dcterms:modified>
</cp:coreProperties>
</file>