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220" w:rsidRPr="00D4507E" w:rsidRDefault="00333220" w:rsidP="00333220">
      <w:pPr>
        <w:tabs>
          <w:tab w:val="left" w:pos="9356"/>
        </w:tabs>
        <w:autoSpaceDE w:val="0"/>
        <w:autoSpaceDN w:val="0"/>
        <w:adjustRightInd w:val="0"/>
        <w:ind w:right="276"/>
        <w:rPr>
          <w:rFonts w:ascii="Arial" w:hAnsi="Arial" w:cs="Arial"/>
          <w:sz w:val="18"/>
          <w:szCs w:val="18"/>
        </w:rPr>
      </w:pPr>
      <w:r w:rsidRPr="00D4507E">
        <w:rPr>
          <w:rFonts w:ascii="Arial" w:hAnsi="Arial" w:cs="Arial"/>
          <w:sz w:val="18"/>
          <w:szCs w:val="18"/>
        </w:rPr>
        <w:t>Dirección General</w:t>
      </w:r>
    </w:p>
    <w:p w:rsidR="00333220" w:rsidRPr="00D4507E" w:rsidRDefault="00333220" w:rsidP="00333220">
      <w:pPr>
        <w:tabs>
          <w:tab w:val="left" w:pos="9356"/>
        </w:tabs>
        <w:autoSpaceDE w:val="0"/>
        <w:autoSpaceDN w:val="0"/>
        <w:adjustRightInd w:val="0"/>
        <w:ind w:right="276"/>
        <w:rPr>
          <w:rFonts w:ascii="Arial" w:hAnsi="Arial" w:cs="Arial"/>
          <w:sz w:val="18"/>
          <w:szCs w:val="18"/>
        </w:rPr>
      </w:pPr>
      <w:r w:rsidRPr="00D4507E">
        <w:rPr>
          <w:rFonts w:ascii="Arial" w:hAnsi="Arial" w:cs="Arial"/>
          <w:sz w:val="18"/>
          <w:szCs w:val="18"/>
        </w:rPr>
        <w:t>Dirección Ejecutiva de Contraloría Interna</w:t>
      </w:r>
    </w:p>
    <w:p w:rsidR="00775F28" w:rsidRPr="00D4507E" w:rsidRDefault="00775F28" w:rsidP="00333220">
      <w:pPr>
        <w:tabs>
          <w:tab w:val="left" w:pos="9356"/>
        </w:tabs>
        <w:autoSpaceDE w:val="0"/>
        <w:autoSpaceDN w:val="0"/>
        <w:adjustRightInd w:val="0"/>
        <w:ind w:right="276"/>
        <w:rPr>
          <w:rFonts w:ascii="Arial" w:hAnsi="Arial" w:cs="Arial"/>
          <w:sz w:val="18"/>
          <w:szCs w:val="18"/>
        </w:rPr>
      </w:pPr>
      <w:r w:rsidRPr="00D4507E">
        <w:rPr>
          <w:rFonts w:ascii="Arial" w:hAnsi="Arial" w:cs="Arial"/>
          <w:sz w:val="18"/>
          <w:szCs w:val="18"/>
        </w:rPr>
        <w:t>Gerencia de Contraloría de Procesos Sustantivos</w:t>
      </w:r>
    </w:p>
    <w:p w:rsidR="0023298A" w:rsidRDefault="0023298A" w:rsidP="00775F28">
      <w:pPr>
        <w:tabs>
          <w:tab w:val="left" w:pos="9356"/>
        </w:tabs>
        <w:autoSpaceDE w:val="0"/>
        <w:autoSpaceDN w:val="0"/>
        <w:adjustRightInd w:val="0"/>
        <w:ind w:right="49"/>
        <w:rPr>
          <w:rFonts w:ascii="Arial" w:hAnsi="Arial" w:cs="Arial"/>
          <w:b/>
          <w:sz w:val="21"/>
          <w:szCs w:val="21"/>
        </w:rPr>
      </w:pPr>
      <w:bookmarkStart w:id="0" w:name="_GoBack"/>
      <w:bookmarkEnd w:id="0"/>
      <w:permStart w:id="2014858034" w:edGrp="everyone"/>
      <w:permEnd w:id="2014858034"/>
    </w:p>
    <w:p w:rsidR="00A407AA" w:rsidRPr="009042B2" w:rsidRDefault="00A407AA" w:rsidP="00775F28">
      <w:pPr>
        <w:tabs>
          <w:tab w:val="left" w:pos="9356"/>
        </w:tabs>
        <w:autoSpaceDE w:val="0"/>
        <w:autoSpaceDN w:val="0"/>
        <w:adjustRightInd w:val="0"/>
        <w:ind w:right="49"/>
        <w:rPr>
          <w:rFonts w:ascii="Arial" w:hAnsi="Arial" w:cs="Arial"/>
          <w:b/>
          <w:sz w:val="21"/>
          <w:szCs w:val="21"/>
        </w:rPr>
      </w:pPr>
    </w:p>
    <w:p w:rsidR="00236E31" w:rsidRPr="009042B2" w:rsidRDefault="00EA6243" w:rsidP="00DC406B">
      <w:pPr>
        <w:tabs>
          <w:tab w:val="left" w:pos="9356"/>
        </w:tabs>
        <w:autoSpaceDE w:val="0"/>
        <w:autoSpaceDN w:val="0"/>
        <w:adjustRightInd w:val="0"/>
        <w:spacing w:line="276" w:lineRule="auto"/>
        <w:jc w:val="both"/>
        <w:rPr>
          <w:rFonts w:ascii="Arial" w:hAnsi="Arial" w:cs="Arial"/>
          <w:sz w:val="21"/>
          <w:szCs w:val="21"/>
        </w:rPr>
      </w:pPr>
      <w:r w:rsidRPr="009042B2">
        <w:rPr>
          <w:rFonts w:ascii="Arial" w:hAnsi="Arial" w:cs="Arial"/>
          <w:sz w:val="21"/>
          <w:szCs w:val="21"/>
        </w:rPr>
        <w:t>En atención al oficio 122-</w:t>
      </w:r>
      <w:r w:rsidR="00411E14" w:rsidRPr="009042B2">
        <w:rPr>
          <w:rFonts w:ascii="Arial" w:hAnsi="Arial" w:cs="Arial"/>
          <w:sz w:val="21"/>
          <w:szCs w:val="21"/>
        </w:rPr>
        <w:t>4</w:t>
      </w:r>
      <w:r w:rsidRPr="009042B2">
        <w:rPr>
          <w:rFonts w:ascii="Arial" w:hAnsi="Arial" w:cs="Arial"/>
          <w:sz w:val="21"/>
          <w:szCs w:val="21"/>
        </w:rPr>
        <w:t>/5</w:t>
      </w:r>
      <w:r w:rsidR="00311ADB" w:rsidRPr="009042B2">
        <w:rPr>
          <w:rFonts w:ascii="Arial" w:hAnsi="Arial" w:cs="Arial"/>
          <w:sz w:val="21"/>
          <w:szCs w:val="21"/>
        </w:rPr>
        <w:t>6</w:t>
      </w:r>
      <w:r w:rsidR="00411E14" w:rsidRPr="009042B2">
        <w:rPr>
          <w:rFonts w:ascii="Arial" w:hAnsi="Arial" w:cs="Arial"/>
          <w:sz w:val="21"/>
          <w:szCs w:val="21"/>
        </w:rPr>
        <w:t>80</w:t>
      </w:r>
      <w:r w:rsidRPr="009042B2">
        <w:rPr>
          <w:rFonts w:ascii="Arial" w:hAnsi="Arial" w:cs="Arial"/>
          <w:sz w:val="21"/>
          <w:szCs w:val="21"/>
        </w:rPr>
        <w:t xml:space="preserve">/2018 recibido en esta </w:t>
      </w:r>
      <w:r w:rsidR="00D76AA5" w:rsidRPr="009042B2">
        <w:rPr>
          <w:rFonts w:ascii="Arial" w:hAnsi="Arial" w:cs="Arial"/>
          <w:sz w:val="21"/>
          <w:szCs w:val="21"/>
        </w:rPr>
        <w:t>I</w:t>
      </w:r>
      <w:r w:rsidRPr="009042B2">
        <w:rPr>
          <w:rFonts w:ascii="Arial" w:hAnsi="Arial" w:cs="Arial"/>
          <w:sz w:val="21"/>
          <w:szCs w:val="21"/>
        </w:rPr>
        <w:t xml:space="preserve">nstitución el </w:t>
      </w:r>
      <w:r w:rsidR="002A60E6" w:rsidRPr="009042B2">
        <w:rPr>
          <w:rFonts w:ascii="Arial" w:hAnsi="Arial" w:cs="Arial"/>
          <w:sz w:val="21"/>
          <w:szCs w:val="21"/>
        </w:rPr>
        <w:t>2</w:t>
      </w:r>
      <w:r w:rsidRPr="009042B2">
        <w:rPr>
          <w:rFonts w:ascii="Arial" w:hAnsi="Arial" w:cs="Arial"/>
          <w:sz w:val="21"/>
          <w:szCs w:val="21"/>
        </w:rPr>
        <w:t xml:space="preserve"> </w:t>
      </w:r>
      <w:r w:rsidR="002A60E6" w:rsidRPr="009042B2">
        <w:rPr>
          <w:rFonts w:ascii="Arial" w:hAnsi="Arial" w:cs="Arial"/>
          <w:sz w:val="21"/>
          <w:szCs w:val="21"/>
        </w:rPr>
        <w:t xml:space="preserve">de agosto </w:t>
      </w:r>
      <w:r w:rsidRPr="009042B2">
        <w:rPr>
          <w:rFonts w:ascii="Arial" w:hAnsi="Arial" w:cs="Arial"/>
          <w:sz w:val="21"/>
          <w:szCs w:val="21"/>
        </w:rPr>
        <w:t>de</w:t>
      </w:r>
      <w:r w:rsidR="002A60E6" w:rsidRPr="009042B2">
        <w:rPr>
          <w:rFonts w:ascii="Arial" w:hAnsi="Arial" w:cs="Arial"/>
          <w:sz w:val="21"/>
          <w:szCs w:val="21"/>
        </w:rPr>
        <w:t>l año en curso</w:t>
      </w:r>
      <w:r w:rsidRPr="009042B2">
        <w:rPr>
          <w:rFonts w:ascii="Arial" w:hAnsi="Arial" w:cs="Arial"/>
          <w:sz w:val="21"/>
          <w:szCs w:val="21"/>
        </w:rPr>
        <w:t xml:space="preserve">, </w:t>
      </w:r>
      <w:r w:rsidR="00D96F37" w:rsidRPr="009042B2">
        <w:rPr>
          <w:rFonts w:ascii="Arial" w:hAnsi="Arial" w:cs="Arial"/>
          <w:sz w:val="21"/>
          <w:szCs w:val="21"/>
        </w:rPr>
        <w:t xml:space="preserve">mediante el cual nos comunica las acciones y </w:t>
      </w:r>
      <w:r w:rsidR="002A60E6" w:rsidRPr="009042B2">
        <w:rPr>
          <w:rFonts w:ascii="Arial" w:hAnsi="Arial" w:cs="Arial"/>
          <w:sz w:val="21"/>
          <w:szCs w:val="21"/>
        </w:rPr>
        <w:t xml:space="preserve">medidas correctivas </w:t>
      </w:r>
      <w:r w:rsidR="00D96F37" w:rsidRPr="009042B2">
        <w:rPr>
          <w:rFonts w:ascii="Arial" w:hAnsi="Arial" w:cs="Arial"/>
          <w:sz w:val="21"/>
          <w:szCs w:val="21"/>
        </w:rPr>
        <w:t xml:space="preserve">derivadas </w:t>
      </w:r>
      <w:r w:rsidR="00236E31" w:rsidRPr="009042B2">
        <w:rPr>
          <w:rFonts w:ascii="Arial" w:hAnsi="Arial" w:cs="Arial"/>
          <w:sz w:val="21"/>
          <w:szCs w:val="21"/>
        </w:rPr>
        <w:t>de la V</w:t>
      </w:r>
      <w:r w:rsidR="00D96F37" w:rsidRPr="009042B2">
        <w:rPr>
          <w:rFonts w:ascii="Arial" w:hAnsi="Arial" w:cs="Arial"/>
          <w:sz w:val="21"/>
          <w:szCs w:val="21"/>
        </w:rPr>
        <w:t xml:space="preserve">isita de </w:t>
      </w:r>
      <w:r w:rsidR="00236E31" w:rsidRPr="009042B2">
        <w:rPr>
          <w:rFonts w:ascii="Arial" w:hAnsi="Arial" w:cs="Arial"/>
          <w:sz w:val="21"/>
          <w:szCs w:val="21"/>
        </w:rPr>
        <w:t>I</w:t>
      </w:r>
      <w:r w:rsidR="00D96F37" w:rsidRPr="009042B2">
        <w:rPr>
          <w:rFonts w:ascii="Arial" w:hAnsi="Arial" w:cs="Arial"/>
          <w:sz w:val="21"/>
          <w:szCs w:val="21"/>
        </w:rPr>
        <w:t xml:space="preserve">nspección </w:t>
      </w:r>
      <w:r w:rsidR="00236E31" w:rsidRPr="009042B2">
        <w:rPr>
          <w:rFonts w:ascii="Arial" w:hAnsi="Arial" w:cs="Arial"/>
          <w:sz w:val="21"/>
          <w:szCs w:val="21"/>
        </w:rPr>
        <w:t xml:space="preserve">Especial practicada a esta </w:t>
      </w:r>
      <w:r w:rsidR="00EF62BC" w:rsidRPr="009042B2">
        <w:rPr>
          <w:rFonts w:ascii="Arial" w:hAnsi="Arial" w:cs="Arial"/>
          <w:sz w:val="21"/>
          <w:szCs w:val="21"/>
        </w:rPr>
        <w:t>I</w:t>
      </w:r>
      <w:r w:rsidR="00236E31" w:rsidRPr="009042B2">
        <w:rPr>
          <w:rFonts w:ascii="Arial" w:hAnsi="Arial" w:cs="Arial"/>
          <w:sz w:val="21"/>
          <w:szCs w:val="21"/>
        </w:rPr>
        <w:t xml:space="preserve">nstitución, </w:t>
      </w:r>
      <w:r w:rsidR="006B72CD" w:rsidRPr="009042B2">
        <w:rPr>
          <w:rFonts w:ascii="Arial" w:hAnsi="Arial" w:cs="Arial"/>
          <w:sz w:val="21"/>
          <w:szCs w:val="21"/>
        </w:rPr>
        <w:t xml:space="preserve">me permito </w:t>
      </w:r>
      <w:r w:rsidR="00EF62BC" w:rsidRPr="009042B2">
        <w:rPr>
          <w:rFonts w:ascii="Arial" w:hAnsi="Arial" w:cs="Arial"/>
          <w:sz w:val="21"/>
          <w:szCs w:val="21"/>
        </w:rPr>
        <w:t>reportar el avance en la instrumentación de acciones correctivas correspondiente al 3er trimestre de 2018 de conformidad con lo sigu</w:t>
      </w:r>
      <w:r w:rsidR="00DD4500" w:rsidRPr="009042B2">
        <w:rPr>
          <w:rFonts w:ascii="Arial" w:hAnsi="Arial" w:cs="Arial"/>
          <w:sz w:val="21"/>
          <w:szCs w:val="21"/>
        </w:rPr>
        <w:t>i</w:t>
      </w:r>
      <w:r w:rsidR="00EF62BC" w:rsidRPr="009042B2">
        <w:rPr>
          <w:rFonts w:ascii="Arial" w:hAnsi="Arial" w:cs="Arial"/>
          <w:sz w:val="21"/>
          <w:szCs w:val="21"/>
        </w:rPr>
        <w:t>ente</w:t>
      </w:r>
      <w:r w:rsidR="00236E31" w:rsidRPr="009042B2">
        <w:rPr>
          <w:rFonts w:ascii="Arial" w:hAnsi="Arial" w:cs="Arial"/>
          <w:sz w:val="21"/>
          <w:szCs w:val="21"/>
        </w:rPr>
        <w:t>:</w:t>
      </w:r>
    </w:p>
    <w:p w:rsidR="00236E31" w:rsidRPr="009042B2" w:rsidRDefault="00236E31" w:rsidP="00DC406B">
      <w:pPr>
        <w:tabs>
          <w:tab w:val="left" w:pos="9356"/>
        </w:tabs>
        <w:autoSpaceDE w:val="0"/>
        <w:autoSpaceDN w:val="0"/>
        <w:adjustRightInd w:val="0"/>
        <w:spacing w:line="276" w:lineRule="auto"/>
        <w:jc w:val="both"/>
        <w:rPr>
          <w:rFonts w:ascii="Arial" w:hAnsi="Arial" w:cs="Arial"/>
          <w:sz w:val="21"/>
          <w:szCs w:val="21"/>
        </w:rPr>
      </w:pPr>
    </w:p>
    <w:p w:rsidR="00236E31" w:rsidRPr="009042B2" w:rsidRDefault="00236E31" w:rsidP="00236E31">
      <w:pPr>
        <w:numPr>
          <w:ilvl w:val="0"/>
          <w:numId w:val="44"/>
        </w:numPr>
        <w:contextualSpacing/>
        <w:jc w:val="both"/>
        <w:rPr>
          <w:rFonts w:ascii="Arial" w:hAnsi="Arial" w:cs="Arial"/>
          <w:b/>
          <w:sz w:val="21"/>
          <w:szCs w:val="21"/>
        </w:rPr>
      </w:pPr>
      <w:r w:rsidRPr="009042B2">
        <w:rPr>
          <w:rFonts w:ascii="Arial" w:hAnsi="Arial" w:cs="Arial"/>
          <w:b/>
          <w:sz w:val="21"/>
          <w:szCs w:val="21"/>
        </w:rPr>
        <w:t>OBSERVACIONES</w:t>
      </w:r>
    </w:p>
    <w:p w:rsidR="00236E31" w:rsidRPr="009042B2" w:rsidRDefault="00236E31" w:rsidP="00236E31">
      <w:pPr>
        <w:jc w:val="both"/>
        <w:rPr>
          <w:rFonts w:ascii="Arial" w:hAnsi="Arial" w:cs="Arial"/>
          <w:sz w:val="21"/>
          <w:szCs w:val="21"/>
        </w:rPr>
      </w:pPr>
    </w:p>
    <w:p w:rsidR="00236E31" w:rsidRPr="009042B2" w:rsidRDefault="00236E31" w:rsidP="00236E31">
      <w:pPr>
        <w:jc w:val="both"/>
        <w:rPr>
          <w:rFonts w:ascii="Arial" w:hAnsi="Arial" w:cs="Arial"/>
          <w:b/>
          <w:sz w:val="21"/>
          <w:szCs w:val="21"/>
        </w:rPr>
      </w:pPr>
      <w:r w:rsidRPr="009042B2">
        <w:rPr>
          <w:rFonts w:ascii="Arial" w:hAnsi="Arial" w:cs="Arial"/>
          <w:b/>
          <w:sz w:val="21"/>
          <w:szCs w:val="21"/>
        </w:rPr>
        <w:t>Seguimiento y Recuperación de créditos Pequeño Productor</w:t>
      </w:r>
    </w:p>
    <w:p w:rsidR="00236E31" w:rsidRPr="009042B2" w:rsidRDefault="00236E31" w:rsidP="00236E31">
      <w:pPr>
        <w:jc w:val="both"/>
        <w:rPr>
          <w:rFonts w:ascii="Arial" w:hAnsi="Arial" w:cs="Arial"/>
          <w:b/>
          <w:sz w:val="21"/>
          <w:szCs w:val="21"/>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236E31" w:rsidRPr="009042B2" w:rsidTr="00EF339C">
        <w:tc>
          <w:tcPr>
            <w:tcW w:w="2122" w:type="dxa"/>
          </w:tcPr>
          <w:p w:rsidR="00236E31" w:rsidRPr="009042B2" w:rsidRDefault="00236E31" w:rsidP="00EF339C">
            <w:pPr>
              <w:ind w:left="38"/>
              <w:jc w:val="both"/>
              <w:rPr>
                <w:rFonts w:ascii="Arial" w:hAnsi="Arial" w:cs="Arial"/>
                <w:b/>
                <w:sz w:val="21"/>
                <w:szCs w:val="21"/>
              </w:rPr>
            </w:pPr>
            <w:r w:rsidRPr="009042B2">
              <w:rPr>
                <w:rFonts w:ascii="Arial" w:hAnsi="Arial" w:cs="Arial"/>
                <w:b/>
                <w:sz w:val="21"/>
                <w:szCs w:val="21"/>
              </w:rPr>
              <w:t>Acción Correctiva relacionada con la observación  1</w:t>
            </w:r>
          </w:p>
        </w:tc>
        <w:tc>
          <w:tcPr>
            <w:tcW w:w="6706" w:type="dxa"/>
          </w:tcPr>
          <w:p w:rsidR="00236E31" w:rsidRPr="009042B2" w:rsidRDefault="00236E31" w:rsidP="00236E31">
            <w:pPr>
              <w:jc w:val="both"/>
              <w:rPr>
                <w:rFonts w:ascii="Arial" w:hAnsi="Arial" w:cs="Arial"/>
                <w:sz w:val="21"/>
                <w:szCs w:val="21"/>
              </w:rPr>
            </w:pPr>
            <w:r w:rsidRPr="009042B2">
              <w:rPr>
                <w:rFonts w:ascii="Arial" w:hAnsi="Arial" w:cs="Arial"/>
                <w:sz w:val="21"/>
                <w:szCs w:val="21"/>
              </w:rPr>
              <w:t>Proporcionar evidencia de la correcta integración de los 8 expedientes de crédito.</w:t>
            </w:r>
          </w:p>
        </w:tc>
      </w:tr>
    </w:tbl>
    <w:p w:rsidR="00236E31" w:rsidRPr="009042B2" w:rsidRDefault="00236E31" w:rsidP="00236E31">
      <w:pPr>
        <w:jc w:val="both"/>
        <w:rPr>
          <w:rFonts w:ascii="Arial" w:hAnsi="Arial" w:cs="Arial"/>
          <w:sz w:val="21"/>
          <w:szCs w:val="21"/>
        </w:rPr>
      </w:pPr>
    </w:p>
    <w:p w:rsidR="00236E31" w:rsidRPr="009042B2" w:rsidRDefault="00236E31" w:rsidP="00236E31">
      <w:pPr>
        <w:jc w:val="both"/>
        <w:rPr>
          <w:rFonts w:ascii="Arial" w:hAnsi="Arial" w:cs="Arial"/>
          <w:b/>
          <w:sz w:val="21"/>
          <w:szCs w:val="21"/>
        </w:rPr>
      </w:pPr>
      <w:r w:rsidRPr="009042B2">
        <w:rPr>
          <w:rFonts w:ascii="Arial" w:hAnsi="Arial" w:cs="Arial"/>
          <w:b/>
          <w:sz w:val="21"/>
          <w:szCs w:val="21"/>
        </w:rPr>
        <w:t>Respuesta:</w:t>
      </w:r>
    </w:p>
    <w:p w:rsidR="00236E31" w:rsidRPr="009042B2" w:rsidRDefault="00236E31" w:rsidP="00236E31">
      <w:pPr>
        <w:jc w:val="both"/>
        <w:rPr>
          <w:rFonts w:ascii="Arial" w:hAnsi="Arial" w:cs="Arial"/>
          <w:sz w:val="21"/>
          <w:szCs w:val="21"/>
        </w:rPr>
      </w:pPr>
      <w:r w:rsidRPr="009042B2">
        <w:rPr>
          <w:rFonts w:ascii="Arial" w:hAnsi="Arial" w:cs="Arial"/>
          <w:sz w:val="21"/>
          <w:szCs w:val="21"/>
        </w:rPr>
        <w:t>La Financiera Nacional de Desarrollo (FND), llevó acciones correctivas apegadas a la Normatividad de la Institución a fin de solventar la observación emitida por la CNBV. Derivado de los incumplimientos contractuales referentes a la comprobación y el aseguramiento por parte de los clientes observados, se procedió a realizar el vencimiento anticipado de los créditos, turnando éstos al Área Jurídica para iniciar las acciones judiciales de recuperación.</w:t>
      </w:r>
    </w:p>
    <w:p w:rsidR="00236E31" w:rsidRPr="009042B2" w:rsidRDefault="00236E31" w:rsidP="00236E31">
      <w:pPr>
        <w:jc w:val="both"/>
        <w:rPr>
          <w:rFonts w:ascii="Arial" w:hAnsi="Arial" w:cs="Arial"/>
          <w:sz w:val="21"/>
          <w:szCs w:val="21"/>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 xml:space="preserve">La FND se encuentra reforzando los mecanismos de comprobación de los créditos, muestra de ello es la inclusión del Informe de Resultados de Supervisión de Comprobación Operaciones de Primer Piso, que se utiliza para comprobar los créditos que cuenten con respaldo de garantías FONAGA/ FEGA el cual se anexa al presente </w:t>
      </w:r>
      <w:r w:rsidRPr="009042B2">
        <w:rPr>
          <w:rFonts w:ascii="Arial" w:hAnsi="Arial" w:cs="Arial"/>
          <w:b/>
          <w:sz w:val="21"/>
          <w:szCs w:val="21"/>
        </w:rPr>
        <w:t>anexo 2</w:t>
      </w:r>
      <w:r w:rsidRPr="009042B2">
        <w:rPr>
          <w:rFonts w:ascii="Arial" w:hAnsi="Arial" w:cs="Arial"/>
          <w:sz w:val="21"/>
          <w:szCs w:val="21"/>
        </w:rPr>
        <w:t xml:space="preserve">. </w:t>
      </w:r>
    </w:p>
    <w:p w:rsidR="00236E31" w:rsidRPr="009042B2" w:rsidRDefault="00236E31" w:rsidP="00236E31">
      <w:pPr>
        <w:jc w:val="both"/>
        <w:rPr>
          <w:rFonts w:ascii="Arial" w:hAnsi="Arial" w:cs="Arial"/>
          <w:sz w:val="21"/>
          <w:szCs w:val="21"/>
        </w:rPr>
      </w:pPr>
    </w:p>
    <w:p w:rsidR="00236E31" w:rsidRPr="009042B2" w:rsidRDefault="00236E31" w:rsidP="00236E31">
      <w:pPr>
        <w:jc w:val="both"/>
        <w:rPr>
          <w:rFonts w:ascii="Arial" w:hAnsi="Arial" w:cs="Arial"/>
          <w:sz w:val="21"/>
          <w:szCs w:val="21"/>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236E31" w:rsidRPr="009042B2" w:rsidTr="00EF339C">
        <w:tc>
          <w:tcPr>
            <w:tcW w:w="2122" w:type="dxa"/>
          </w:tcPr>
          <w:p w:rsidR="00236E31" w:rsidRPr="009042B2" w:rsidRDefault="00236E31" w:rsidP="00EF339C">
            <w:pPr>
              <w:ind w:left="38"/>
              <w:jc w:val="both"/>
              <w:rPr>
                <w:rFonts w:ascii="Arial" w:hAnsi="Arial" w:cs="Arial"/>
                <w:b/>
                <w:sz w:val="21"/>
                <w:szCs w:val="21"/>
              </w:rPr>
            </w:pPr>
            <w:r w:rsidRPr="009042B2">
              <w:rPr>
                <w:rFonts w:ascii="Arial" w:hAnsi="Arial" w:cs="Arial"/>
                <w:b/>
                <w:sz w:val="21"/>
                <w:szCs w:val="21"/>
              </w:rPr>
              <w:t>Acción Correctiva relacionada con la observación  2</w:t>
            </w:r>
          </w:p>
        </w:tc>
        <w:tc>
          <w:tcPr>
            <w:tcW w:w="6706" w:type="dxa"/>
          </w:tcPr>
          <w:p w:rsidR="00236E31" w:rsidRPr="009042B2" w:rsidRDefault="00236E31" w:rsidP="00236E31">
            <w:pPr>
              <w:jc w:val="both"/>
              <w:rPr>
                <w:rFonts w:ascii="Arial" w:hAnsi="Arial" w:cs="Arial"/>
                <w:sz w:val="21"/>
                <w:szCs w:val="21"/>
              </w:rPr>
            </w:pPr>
            <w:r w:rsidRPr="009042B2">
              <w:rPr>
                <w:rFonts w:ascii="Arial" w:hAnsi="Arial" w:cs="Arial"/>
                <w:sz w:val="21"/>
                <w:szCs w:val="21"/>
              </w:rPr>
              <w:t>Remitir las acciones y medidas de control a implementar con el fin de cumplir con el programa de supervisión, considerando entre otras cosas, las causas administrativas como incapacidad y falta de viáticos, ya que estas no eximen a la FND de dar cumplimiento a su manual de crédito.</w:t>
            </w:r>
          </w:p>
        </w:tc>
      </w:tr>
    </w:tbl>
    <w:p w:rsidR="00236E31" w:rsidRPr="009042B2" w:rsidRDefault="00236E31" w:rsidP="00236E31">
      <w:pPr>
        <w:jc w:val="both"/>
        <w:rPr>
          <w:rFonts w:ascii="Arial" w:hAnsi="Arial" w:cs="Arial"/>
          <w:sz w:val="21"/>
          <w:szCs w:val="21"/>
        </w:rPr>
      </w:pPr>
    </w:p>
    <w:p w:rsidR="00236E31" w:rsidRPr="009042B2" w:rsidRDefault="00236E31" w:rsidP="00236E31">
      <w:pPr>
        <w:jc w:val="both"/>
        <w:rPr>
          <w:rFonts w:ascii="Arial" w:hAnsi="Arial" w:cs="Arial"/>
          <w:b/>
          <w:sz w:val="21"/>
          <w:szCs w:val="21"/>
        </w:rPr>
      </w:pPr>
      <w:r w:rsidRPr="009042B2">
        <w:rPr>
          <w:rFonts w:ascii="Arial" w:hAnsi="Arial" w:cs="Arial"/>
          <w:b/>
          <w:sz w:val="21"/>
          <w:szCs w:val="21"/>
        </w:rPr>
        <w:t>Respuesta:</w:t>
      </w:r>
    </w:p>
    <w:p w:rsidR="00236E31" w:rsidRPr="009042B2" w:rsidRDefault="00236E31" w:rsidP="00236E31">
      <w:pPr>
        <w:jc w:val="both"/>
        <w:rPr>
          <w:rFonts w:ascii="Arial" w:hAnsi="Arial" w:cs="Arial"/>
          <w:b/>
          <w:sz w:val="21"/>
          <w:szCs w:val="21"/>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Derivado de la observación emitida por parte de la CNBV, la FND implementó un mayor seguimiento a la programación de supervisión del “Grupo 2” a través de los enlaces pertenecientes a la Subdirección Corporativa de Supervisión y Cobranza, asimismo está trabajando en un informe que se presentará al Comité de Créditos Menores, reportando los resultados de las supervisiones, lo anterior se refleja en el número de supervisiones realizadas en el periodo comprendido de marzo a julio 2018, donde se observa que el promedio de las supervisiones realizadas a nivel nacional es del 93%.</w:t>
      </w:r>
    </w:p>
    <w:p w:rsidR="00236E31" w:rsidRDefault="00236E31" w:rsidP="00236E31">
      <w:pPr>
        <w:jc w:val="both"/>
        <w:rPr>
          <w:rFonts w:ascii="Arial" w:hAnsi="Arial" w:cs="Arial"/>
          <w:sz w:val="21"/>
          <w:szCs w:val="21"/>
        </w:rPr>
      </w:pPr>
    </w:p>
    <w:p w:rsidR="00A407AA" w:rsidRDefault="00A407AA" w:rsidP="00236E31">
      <w:pPr>
        <w:jc w:val="both"/>
        <w:rPr>
          <w:rFonts w:ascii="Arial" w:hAnsi="Arial" w:cs="Arial"/>
          <w:sz w:val="21"/>
          <w:szCs w:val="21"/>
        </w:rPr>
      </w:pPr>
    </w:p>
    <w:p w:rsidR="00A407AA" w:rsidRDefault="00A407AA" w:rsidP="00236E31">
      <w:pPr>
        <w:jc w:val="both"/>
        <w:rPr>
          <w:rFonts w:ascii="Arial" w:hAnsi="Arial" w:cs="Arial"/>
          <w:sz w:val="21"/>
          <w:szCs w:val="21"/>
        </w:rPr>
      </w:pPr>
    </w:p>
    <w:p w:rsidR="00A407AA" w:rsidRDefault="00A407AA" w:rsidP="00236E31">
      <w:pPr>
        <w:jc w:val="both"/>
        <w:rPr>
          <w:rFonts w:ascii="Arial" w:hAnsi="Arial" w:cs="Arial"/>
          <w:sz w:val="21"/>
          <w:szCs w:val="21"/>
        </w:rPr>
      </w:pPr>
    </w:p>
    <w:p w:rsidR="00A407AA" w:rsidRDefault="00A407AA" w:rsidP="00236E31">
      <w:pPr>
        <w:jc w:val="both"/>
        <w:rPr>
          <w:rFonts w:ascii="Arial" w:hAnsi="Arial" w:cs="Arial"/>
          <w:sz w:val="21"/>
          <w:szCs w:val="21"/>
        </w:rPr>
      </w:pPr>
    </w:p>
    <w:p w:rsidR="00A407AA" w:rsidRPr="009042B2" w:rsidRDefault="00A407AA" w:rsidP="00236E31">
      <w:pPr>
        <w:jc w:val="both"/>
        <w:rPr>
          <w:rFonts w:ascii="Arial" w:hAnsi="Arial" w:cs="Arial"/>
          <w:sz w:val="21"/>
          <w:szCs w:val="21"/>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lastRenderedPageBreak/>
        <w:t>A continuación, se detalla las supervisiones realizadas en el periodo referido:</w:t>
      </w:r>
    </w:p>
    <w:p w:rsidR="00236E31" w:rsidRPr="009042B2" w:rsidRDefault="00236E31" w:rsidP="00236E31">
      <w:pPr>
        <w:jc w:val="both"/>
        <w:rPr>
          <w:rFonts w:ascii="Arial" w:hAnsi="Arial" w:cs="Arial"/>
          <w:sz w:val="21"/>
          <w:szCs w:val="21"/>
        </w:rPr>
      </w:pPr>
    </w:p>
    <w:p w:rsidR="00236E31" w:rsidRPr="00236E31" w:rsidRDefault="00236E31" w:rsidP="00236E31">
      <w:pPr>
        <w:jc w:val="center"/>
        <w:rPr>
          <w:rFonts w:ascii="Arial" w:hAnsi="Arial" w:cs="Arial"/>
          <w:sz w:val="20"/>
          <w:szCs w:val="20"/>
        </w:rPr>
      </w:pPr>
      <w:r w:rsidRPr="00236E31">
        <w:rPr>
          <w:rFonts w:ascii="Arial" w:hAnsi="Arial" w:cs="Arial"/>
          <w:noProof/>
          <w:sz w:val="20"/>
          <w:szCs w:val="20"/>
          <w:lang w:val="es-MX" w:eastAsia="es-MX"/>
        </w:rPr>
        <w:drawing>
          <wp:inline distT="0" distB="0" distL="0" distR="0" wp14:anchorId="18C3D0EA" wp14:editId="2B326143">
            <wp:extent cx="3721100" cy="13197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7907" cy="1325760"/>
                    </a:xfrm>
                    <a:prstGeom prst="rect">
                      <a:avLst/>
                    </a:prstGeom>
                    <a:noFill/>
                    <a:ln>
                      <a:noFill/>
                    </a:ln>
                  </pic:spPr>
                </pic:pic>
              </a:graphicData>
            </a:graphic>
          </wp:inline>
        </w:drawing>
      </w:r>
    </w:p>
    <w:p w:rsidR="00236E31" w:rsidRDefault="00236E31" w:rsidP="00236E31">
      <w:pPr>
        <w:rPr>
          <w:rFonts w:ascii="Arial" w:hAnsi="Arial" w:cs="Arial"/>
          <w:sz w:val="20"/>
          <w:szCs w:val="20"/>
        </w:rPr>
      </w:pPr>
    </w:p>
    <w:p w:rsidR="00995F89" w:rsidRPr="009042B2" w:rsidRDefault="00995F89" w:rsidP="00236E31">
      <w:pPr>
        <w:rPr>
          <w:rFonts w:ascii="Arial" w:hAnsi="Arial" w:cs="Arial"/>
          <w:sz w:val="21"/>
          <w:szCs w:val="21"/>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Respecto a la programación correspondiente a los meses de agosto a octubre 2018 se reportan los siguientes avances:</w:t>
      </w:r>
    </w:p>
    <w:p w:rsidR="00236E31" w:rsidRPr="00236E31" w:rsidRDefault="00236E31" w:rsidP="00236E31">
      <w:pPr>
        <w:jc w:val="both"/>
        <w:rPr>
          <w:rFonts w:ascii="Arial" w:hAnsi="Arial" w:cs="Arial"/>
          <w:sz w:val="20"/>
          <w:szCs w:val="20"/>
        </w:rPr>
      </w:pPr>
    </w:p>
    <w:p w:rsidR="00236E31" w:rsidRPr="00236E31" w:rsidRDefault="00236E31" w:rsidP="00236E31">
      <w:pPr>
        <w:jc w:val="center"/>
        <w:rPr>
          <w:rFonts w:ascii="Arial" w:hAnsi="Arial" w:cs="Arial"/>
          <w:sz w:val="20"/>
          <w:szCs w:val="20"/>
        </w:rPr>
      </w:pPr>
      <w:r w:rsidRPr="00236E31">
        <w:rPr>
          <w:rFonts w:ascii="Arial" w:hAnsi="Arial" w:cs="Arial"/>
          <w:noProof/>
          <w:sz w:val="20"/>
          <w:szCs w:val="20"/>
          <w:lang w:val="es-MX" w:eastAsia="es-MX"/>
        </w:rPr>
        <w:drawing>
          <wp:inline distT="0" distB="0" distL="0" distR="0" wp14:anchorId="46CA04AB" wp14:editId="4F21F497">
            <wp:extent cx="3724828" cy="1307569"/>
            <wp:effectExtent l="0" t="0" r="952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6911" cy="1325852"/>
                    </a:xfrm>
                    <a:prstGeom prst="rect">
                      <a:avLst/>
                    </a:prstGeom>
                    <a:noFill/>
                    <a:ln>
                      <a:noFill/>
                    </a:ln>
                  </pic:spPr>
                </pic:pic>
              </a:graphicData>
            </a:graphic>
          </wp:inline>
        </w:drawing>
      </w:r>
    </w:p>
    <w:p w:rsidR="00236E31" w:rsidRPr="00236E31" w:rsidRDefault="00236E31" w:rsidP="00236E31">
      <w:pPr>
        <w:jc w:val="center"/>
        <w:rPr>
          <w:rFonts w:ascii="Arial" w:hAnsi="Arial" w:cs="Arial"/>
          <w:sz w:val="20"/>
          <w:szCs w:val="20"/>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Cabe comentar que existe el compromiso por parte de las Gerencias Regionales de Supervisión y Cobranza de realizar las supervisiones pendientes a más tardar a finales del mes de diciembre del año en curso a fin de dar total cumplimiento de la programación de éstas.</w:t>
      </w:r>
    </w:p>
    <w:p w:rsidR="00236E31" w:rsidRDefault="00236E31" w:rsidP="00236E31">
      <w:pPr>
        <w:jc w:val="both"/>
        <w:rPr>
          <w:rFonts w:ascii="Arial" w:hAnsi="Arial" w:cs="Arial"/>
          <w:sz w:val="20"/>
          <w:szCs w:val="20"/>
        </w:rPr>
      </w:pPr>
    </w:p>
    <w:p w:rsidR="00995F89" w:rsidRPr="00236E31" w:rsidRDefault="00995F89" w:rsidP="00236E31">
      <w:pPr>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236E31" w:rsidRPr="009042B2" w:rsidTr="00270701">
        <w:tc>
          <w:tcPr>
            <w:tcW w:w="2122" w:type="dxa"/>
          </w:tcPr>
          <w:p w:rsidR="00236E31" w:rsidRPr="009042B2" w:rsidRDefault="00236E31" w:rsidP="00236E31">
            <w:pPr>
              <w:jc w:val="both"/>
              <w:rPr>
                <w:rFonts w:ascii="Arial" w:hAnsi="Arial" w:cs="Arial"/>
                <w:b/>
                <w:sz w:val="21"/>
                <w:szCs w:val="21"/>
              </w:rPr>
            </w:pPr>
            <w:r w:rsidRPr="009042B2">
              <w:rPr>
                <w:rFonts w:ascii="Arial" w:hAnsi="Arial" w:cs="Arial"/>
                <w:b/>
                <w:sz w:val="21"/>
                <w:szCs w:val="21"/>
              </w:rPr>
              <w:t>Acción Correctiva relacionada con la observación  3</w:t>
            </w:r>
          </w:p>
        </w:tc>
        <w:tc>
          <w:tcPr>
            <w:tcW w:w="6706" w:type="dxa"/>
          </w:tcPr>
          <w:p w:rsidR="00236E31" w:rsidRPr="009042B2" w:rsidRDefault="00236E31" w:rsidP="009042B2">
            <w:pPr>
              <w:numPr>
                <w:ilvl w:val="0"/>
                <w:numId w:val="42"/>
              </w:numPr>
              <w:spacing w:before="240" w:after="240"/>
              <w:ind w:left="459" w:hanging="357"/>
              <w:contextualSpacing/>
              <w:jc w:val="both"/>
              <w:rPr>
                <w:rFonts w:ascii="Arial" w:hAnsi="Arial" w:cs="Arial"/>
                <w:sz w:val="21"/>
                <w:szCs w:val="21"/>
              </w:rPr>
            </w:pPr>
            <w:r w:rsidRPr="009042B2">
              <w:rPr>
                <w:rFonts w:ascii="Arial" w:hAnsi="Arial" w:cs="Arial"/>
                <w:sz w:val="21"/>
                <w:szCs w:val="21"/>
              </w:rPr>
              <w:t>Remitir en archivo PDF la metodología para la Muestra Estadística para la Supervisiones de Acompañamiento del Grupo 2, una vez que se modifique, con el fin de incorporar un mayor número de clientes al amparo de del Programa Pequeño Productor.</w:t>
            </w:r>
          </w:p>
          <w:p w:rsidR="009042B2" w:rsidRPr="009042B2" w:rsidRDefault="009042B2" w:rsidP="009042B2">
            <w:pPr>
              <w:spacing w:before="240" w:after="240"/>
              <w:ind w:left="102"/>
              <w:contextualSpacing/>
              <w:jc w:val="both"/>
              <w:rPr>
                <w:rFonts w:ascii="Arial" w:hAnsi="Arial" w:cs="Arial"/>
                <w:sz w:val="21"/>
                <w:szCs w:val="21"/>
              </w:rPr>
            </w:pPr>
          </w:p>
          <w:p w:rsidR="00236E31" w:rsidRPr="009042B2" w:rsidRDefault="00236E31" w:rsidP="00236E31">
            <w:pPr>
              <w:numPr>
                <w:ilvl w:val="0"/>
                <w:numId w:val="42"/>
              </w:numPr>
              <w:ind w:left="464"/>
              <w:contextualSpacing/>
              <w:jc w:val="both"/>
              <w:rPr>
                <w:rFonts w:ascii="Arial" w:hAnsi="Arial" w:cs="Arial"/>
                <w:sz w:val="21"/>
                <w:szCs w:val="21"/>
              </w:rPr>
            </w:pPr>
            <w:r w:rsidRPr="009042B2">
              <w:rPr>
                <w:rFonts w:ascii="Arial" w:hAnsi="Arial" w:cs="Arial"/>
                <w:sz w:val="21"/>
                <w:szCs w:val="21"/>
              </w:rPr>
              <w:t>Determinar una muestra adicional que solo contemple los créditos otorgados bajo la modalidad “Grupos con obligación Mancomunada”, con el fin de dar seguimiento al grupo completo y no de forma individual.</w:t>
            </w:r>
          </w:p>
          <w:p w:rsidR="009042B2" w:rsidRPr="009042B2" w:rsidRDefault="009042B2" w:rsidP="009042B2">
            <w:pPr>
              <w:pStyle w:val="Prrafodelista"/>
              <w:rPr>
                <w:rFonts w:ascii="Arial" w:hAnsi="Arial" w:cs="Arial"/>
                <w:sz w:val="21"/>
                <w:szCs w:val="21"/>
              </w:rPr>
            </w:pPr>
          </w:p>
          <w:p w:rsidR="00236E31" w:rsidRPr="009042B2" w:rsidRDefault="00236E31" w:rsidP="00236E31">
            <w:pPr>
              <w:numPr>
                <w:ilvl w:val="0"/>
                <w:numId w:val="42"/>
              </w:numPr>
              <w:ind w:left="464"/>
              <w:contextualSpacing/>
              <w:jc w:val="both"/>
              <w:rPr>
                <w:rFonts w:ascii="Arial" w:hAnsi="Arial" w:cs="Arial"/>
                <w:sz w:val="21"/>
                <w:szCs w:val="21"/>
              </w:rPr>
            </w:pPr>
            <w:r w:rsidRPr="009042B2">
              <w:rPr>
                <w:rFonts w:ascii="Arial" w:hAnsi="Arial" w:cs="Arial"/>
                <w:sz w:val="21"/>
                <w:szCs w:val="21"/>
              </w:rPr>
              <w:t>Remitir copia de la evidencia de aprobación de las instancias facultades para la autorización de dicha metodología.</w:t>
            </w:r>
          </w:p>
          <w:p w:rsidR="009042B2" w:rsidRPr="009042B2" w:rsidRDefault="009042B2" w:rsidP="009042B2">
            <w:pPr>
              <w:ind w:left="104"/>
              <w:contextualSpacing/>
              <w:jc w:val="both"/>
              <w:rPr>
                <w:rFonts w:ascii="Arial" w:hAnsi="Arial" w:cs="Arial"/>
                <w:sz w:val="21"/>
                <w:szCs w:val="21"/>
              </w:rPr>
            </w:pPr>
          </w:p>
          <w:p w:rsidR="00236E31" w:rsidRPr="009042B2" w:rsidRDefault="00236E31" w:rsidP="00236E31">
            <w:pPr>
              <w:numPr>
                <w:ilvl w:val="0"/>
                <w:numId w:val="42"/>
              </w:numPr>
              <w:ind w:left="464"/>
              <w:contextualSpacing/>
              <w:jc w:val="both"/>
              <w:rPr>
                <w:rFonts w:ascii="Arial" w:hAnsi="Arial" w:cs="Arial"/>
                <w:sz w:val="21"/>
                <w:szCs w:val="21"/>
              </w:rPr>
            </w:pPr>
            <w:r w:rsidRPr="009042B2">
              <w:rPr>
                <w:rFonts w:ascii="Arial" w:hAnsi="Arial" w:cs="Arial"/>
                <w:sz w:val="21"/>
                <w:szCs w:val="21"/>
              </w:rPr>
              <w:t>Proporcionar evidencia de haber hecho del conocimiento de los funcionarios y empleados la actualización de la metodología.</w:t>
            </w:r>
          </w:p>
        </w:tc>
      </w:tr>
    </w:tbl>
    <w:p w:rsidR="00236E31" w:rsidRDefault="00236E31" w:rsidP="00236E31">
      <w:pPr>
        <w:jc w:val="both"/>
        <w:rPr>
          <w:rFonts w:ascii="Arial" w:hAnsi="Arial" w:cs="Arial"/>
          <w:b/>
          <w:sz w:val="21"/>
          <w:szCs w:val="21"/>
        </w:rPr>
      </w:pPr>
    </w:p>
    <w:p w:rsidR="00A407AA" w:rsidRDefault="00A407AA" w:rsidP="00236E31">
      <w:pPr>
        <w:jc w:val="both"/>
        <w:rPr>
          <w:rFonts w:ascii="Arial" w:hAnsi="Arial" w:cs="Arial"/>
          <w:b/>
          <w:sz w:val="21"/>
          <w:szCs w:val="21"/>
        </w:rPr>
      </w:pPr>
    </w:p>
    <w:p w:rsidR="00A407AA" w:rsidRDefault="00A407AA" w:rsidP="00236E31">
      <w:pPr>
        <w:jc w:val="both"/>
        <w:rPr>
          <w:rFonts w:ascii="Arial" w:hAnsi="Arial" w:cs="Arial"/>
          <w:b/>
          <w:sz w:val="21"/>
          <w:szCs w:val="21"/>
        </w:rPr>
      </w:pPr>
    </w:p>
    <w:p w:rsidR="00A407AA" w:rsidRDefault="00A407AA" w:rsidP="00236E31">
      <w:pPr>
        <w:jc w:val="both"/>
        <w:rPr>
          <w:rFonts w:ascii="Arial" w:hAnsi="Arial" w:cs="Arial"/>
          <w:b/>
          <w:sz w:val="21"/>
          <w:szCs w:val="21"/>
        </w:rPr>
      </w:pPr>
    </w:p>
    <w:p w:rsidR="00A407AA" w:rsidRPr="009042B2" w:rsidRDefault="00A407AA" w:rsidP="00236E31">
      <w:pPr>
        <w:jc w:val="both"/>
        <w:rPr>
          <w:rFonts w:ascii="Arial" w:hAnsi="Arial" w:cs="Arial"/>
          <w:b/>
          <w:sz w:val="21"/>
          <w:szCs w:val="21"/>
        </w:rPr>
      </w:pPr>
    </w:p>
    <w:p w:rsidR="00236E31" w:rsidRPr="009042B2" w:rsidRDefault="00236E31" w:rsidP="00236E31">
      <w:pPr>
        <w:jc w:val="both"/>
        <w:rPr>
          <w:rFonts w:ascii="Arial" w:hAnsi="Arial" w:cs="Arial"/>
          <w:b/>
          <w:sz w:val="21"/>
          <w:szCs w:val="21"/>
        </w:rPr>
      </w:pPr>
      <w:r w:rsidRPr="009042B2">
        <w:rPr>
          <w:rFonts w:ascii="Arial" w:hAnsi="Arial" w:cs="Arial"/>
          <w:b/>
          <w:sz w:val="21"/>
          <w:szCs w:val="21"/>
        </w:rPr>
        <w:lastRenderedPageBreak/>
        <w:t>Respuesta:</w:t>
      </w:r>
    </w:p>
    <w:p w:rsidR="00236E31" w:rsidRPr="009042B2" w:rsidRDefault="00236E31" w:rsidP="00236E31">
      <w:pPr>
        <w:jc w:val="both"/>
        <w:rPr>
          <w:rFonts w:ascii="Arial" w:hAnsi="Arial" w:cs="Arial"/>
          <w:b/>
          <w:sz w:val="21"/>
          <w:szCs w:val="21"/>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 xml:space="preserve">La FND realizó un análisis de los “Grupos con obligación mancomunada” dentro de las operaciones catalogadas como “Grupo 2” y se observó que los “Grupos con obligación mancomunada” representan el </w:t>
      </w:r>
      <w:r w:rsidRPr="009042B2">
        <w:rPr>
          <w:rFonts w:ascii="Arial" w:hAnsi="Arial" w:cs="Arial"/>
          <w:b/>
          <w:sz w:val="21"/>
          <w:szCs w:val="21"/>
        </w:rPr>
        <w:t>0.9% del total del universo de dicho grupo, razón por la cual se determina no realizar una muestra adicional para supervisar a los “Grupos con obligación mancomunada” dado que no es una población representativa para la FND, quien tiene como prioridad dar cumplimento a los programas de supervisión del “Grupo 2”.</w:t>
      </w:r>
    </w:p>
    <w:p w:rsidR="00236E31" w:rsidRPr="009042B2" w:rsidRDefault="00236E31" w:rsidP="00236E31">
      <w:pPr>
        <w:jc w:val="both"/>
        <w:rPr>
          <w:rFonts w:ascii="Arial" w:hAnsi="Arial" w:cs="Arial"/>
          <w:b/>
          <w:sz w:val="21"/>
          <w:szCs w:val="21"/>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Sin embargo, la estructura del personal del área de supervisión no ha reflejado ningún crecimiento en los últimos años, contrario al crecimiento que ha mostrado la cartera de clientes de la FND como se muestra a continuación:</w:t>
      </w:r>
    </w:p>
    <w:p w:rsidR="00236E31" w:rsidRPr="00236E31" w:rsidRDefault="00236E31" w:rsidP="00236E31">
      <w:pPr>
        <w:jc w:val="both"/>
        <w:rPr>
          <w:rFonts w:ascii="Arial" w:hAnsi="Arial" w:cs="Arial"/>
          <w:sz w:val="20"/>
          <w:szCs w:val="20"/>
        </w:rPr>
      </w:pPr>
    </w:p>
    <w:tbl>
      <w:tblPr>
        <w:tblW w:w="4691" w:type="dxa"/>
        <w:jc w:val="center"/>
        <w:tblCellMar>
          <w:left w:w="70" w:type="dxa"/>
          <w:right w:w="70" w:type="dxa"/>
        </w:tblCellMar>
        <w:tblLook w:val="04A0" w:firstRow="1" w:lastRow="0" w:firstColumn="1" w:lastColumn="0" w:noHBand="0" w:noVBand="1"/>
      </w:tblPr>
      <w:tblGrid>
        <w:gridCol w:w="1172"/>
        <w:gridCol w:w="1172"/>
        <w:gridCol w:w="1172"/>
        <w:gridCol w:w="1175"/>
      </w:tblGrid>
      <w:tr w:rsidR="00236E31" w:rsidRPr="00236E31" w:rsidTr="00270701">
        <w:trPr>
          <w:trHeight w:val="249"/>
          <w:jc w:val="center"/>
        </w:trPr>
        <w:tc>
          <w:tcPr>
            <w:tcW w:w="4691" w:type="dxa"/>
            <w:gridSpan w:val="4"/>
            <w:tcBorders>
              <w:top w:val="single" w:sz="4" w:space="0" w:color="548235"/>
              <w:left w:val="single" w:sz="4" w:space="0" w:color="548235"/>
              <w:bottom w:val="single" w:sz="4" w:space="0" w:color="548235"/>
              <w:right w:val="single" w:sz="4" w:space="0" w:color="548235"/>
            </w:tcBorders>
            <w:shd w:val="clear" w:color="000000" w:fill="A9D08E"/>
            <w:noWrap/>
            <w:vAlign w:val="center"/>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val="es-MX" w:eastAsia="es-MX"/>
              </w:rPr>
              <w:t>Crecimiento de Clientes de la FND</w:t>
            </w:r>
          </w:p>
        </w:tc>
      </w:tr>
      <w:tr w:rsidR="00236E31" w:rsidRPr="00236E31" w:rsidTr="00270701">
        <w:trPr>
          <w:trHeight w:val="249"/>
          <w:jc w:val="center"/>
        </w:trPr>
        <w:tc>
          <w:tcPr>
            <w:tcW w:w="1172" w:type="dxa"/>
            <w:tcBorders>
              <w:top w:val="single" w:sz="4" w:space="0" w:color="548235"/>
              <w:left w:val="single" w:sz="4" w:space="0" w:color="548235"/>
              <w:bottom w:val="single" w:sz="4" w:space="0" w:color="548235"/>
              <w:right w:val="single" w:sz="4" w:space="0" w:color="548235"/>
            </w:tcBorders>
            <w:shd w:val="clear" w:color="000000" w:fill="A9D08E"/>
            <w:noWrap/>
            <w:vAlign w:val="center"/>
            <w:hideMark/>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val="es-MX" w:eastAsia="es-MX"/>
              </w:rPr>
              <w:t>2014</w:t>
            </w:r>
          </w:p>
        </w:tc>
        <w:tc>
          <w:tcPr>
            <w:tcW w:w="1172" w:type="dxa"/>
            <w:tcBorders>
              <w:top w:val="single" w:sz="4" w:space="0" w:color="548235"/>
              <w:left w:val="nil"/>
              <w:bottom w:val="single" w:sz="4" w:space="0" w:color="548235"/>
              <w:right w:val="single" w:sz="4" w:space="0" w:color="548235"/>
            </w:tcBorders>
            <w:shd w:val="clear" w:color="000000" w:fill="A9D08E"/>
            <w:noWrap/>
            <w:vAlign w:val="center"/>
            <w:hideMark/>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val="es-MX" w:eastAsia="es-MX"/>
              </w:rPr>
              <w:t>2015</w:t>
            </w:r>
          </w:p>
        </w:tc>
        <w:tc>
          <w:tcPr>
            <w:tcW w:w="1172" w:type="dxa"/>
            <w:tcBorders>
              <w:top w:val="single" w:sz="4" w:space="0" w:color="548235"/>
              <w:left w:val="nil"/>
              <w:bottom w:val="single" w:sz="4" w:space="0" w:color="548235"/>
              <w:right w:val="single" w:sz="4" w:space="0" w:color="548235"/>
            </w:tcBorders>
            <w:shd w:val="clear" w:color="000000" w:fill="A9D08E"/>
            <w:noWrap/>
            <w:vAlign w:val="center"/>
            <w:hideMark/>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val="es-MX" w:eastAsia="es-MX"/>
              </w:rPr>
              <w:t>2016</w:t>
            </w:r>
          </w:p>
        </w:tc>
        <w:tc>
          <w:tcPr>
            <w:tcW w:w="1172" w:type="dxa"/>
            <w:tcBorders>
              <w:top w:val="single" w:sz="4" w:space="0" w:color="548235"/>
              <w:left w:val="nil"/>
              <w:bottom w:val="single" w:sz="4" w:space="0" w:color="548235"/>
              <w:right w:val="single" w:sz="4" w:space="0" w:color="548235"/>
            </w:tcBorders>
            <w:shd w:val="clear" w:color="000000" w:fill="A9D08E"/>
            <w:noWrap/>
            <w:vAlign w:val="center"/>
            <w:hideMark/>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val="es-MX" w:eastAsia="es-MX"/>
              </w:rPr>
              <w:t>2017</w:t>
            </w:r>
          </w:p>
        </w:tc>
      </w:tr>
      <w:tr w:rsidR="00236E31" w:rsidRPr="00236E31" w:rsidTr="00270701">
        <w:trPr>
          <w:trHeight w:val="249"/>
          <w:jc w:val="center"/>
        </w:trPr>
        <w:tc>
          <w:tcPr>
            <w:tcW w:w="1172" w:type="dxa"/>
            <w:tcBorders>
              <w:top w:val="nil"/>
              <w:left w:val="single" w:sz="4" w:space="0" w:color="548235"/>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val="es-MX" w:eastAsia="es-MX"/>
              </w:rPr>
              <w:t>18%</w:t>
            </w:r>
          </w:p>
        </w:tc>
        <w:tc>
          <w:tcPr>
            <w:tcW w:w="1172" w:type="dxa"/>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val="es-MX" w:eastAsia="es-MX"/>
              </w:rPr>
              <w:t>138%</w:t>
            </w:r>
          </w:p>
        </w:tc>
        <w:tc>
          <w:tcPr>
            <w:tcW w:w="1172" w:type="dxa"/>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val="es-MX" w:eastAsia="es-MX"/>
              </w:rPr>
              <w:t>17%</w:t>
            </w:r>
          </w:p>
        </w:tc>
        <w:tc>
          <w:tcPr>
            <w:tcW w:w="1172" w:type="dxa"/>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val="es-MX" w:eastAsia="es-MX"/>
              </w:rPr>
              <w:t>8%</w:t>
            </w:r>
          </w:p>
        </w:tc>
      </w:tr>
    </w:tbl>
    <w:p w:rsidR="00236E31" w:rsidRPr="00236E31" w:rsidRDefault="009042B2" w:rsidP="009042B2">
      <w:pPr>
        <w:tabs>
          <w:tab w:val="left" w:pos="2552"/>
          <w:tab w:val="left" w:pos="2977"/>
        </w:tabs>
        <w:jc w:val="both"/>
        <w:rPr>
          <w:rFonts w:ascii="Arial" w:hAnsi="Arial" w:cs="Arial"/>
          <w:sz w:val="20"/>
          <w:szCs w:val="20"/>
          <w:vertAlign w:val="superscript"/>
        </w:rPr>
      </w:pPr>
      <w:r>
        <w:rPr>
          <w:rFonts w:ascii="Arial" w:hAnsi="Arial" w:cs="Arial"/>
          <w:sz w:val="20"/>
          <w:szCs w:val="20"/>
          <w:vertAlign w:val="superscript"/>
        </w:rPr>
        <w:tab/>
      </w:r>
      <w:r w:rsidR="00236E31" w:rsidRPr="00236E31">
        <w:rPr>
          <w:rFonts w:ascii="Arial" w:hAnsi="Arial" w:cs="Arial"/>
          <w:sz w:val="20"/>
          <w:szCs w:val="20"/>
          <w:vertAlign w:val="superscript"/>
        </w:rPr>
        <w:t>El crecimiento respecto al año inmediato anterior</w:t>
      </w:r>
    </w:p>
    <w:p w:rsidR="00236E31" w:rsidRDefault="00236E31" w:rsidP="00236E31">
      <w:pPr>
        <w:jc w:val="both"/>
        <w:rPr>
          <w:rFonts w:ascii="Arial" w:hAnsi="Arial" w:cs="Arial"/>
          <w:sz w:val="20"/>
          <w:szCs w:val="20"/>
        </w:rPr>
      </w:pPr>
    </w:p>
    <w:p w:rsidR="009042B2" w:rsidRPr="00236E31" w:rsidRDefault="009042B2" w:rsidP="00236E31">
      <w:pPr>
        <w:jc w:val="both"/>
        <w:rPr>
          <w:rFonts w:ascii="Arial" w:hAnsi="Arial" w:cs="Arial"/>
          <w:sz w:val="20"/>
          <w:szCs w:val="20"/>
        </w:rPr>
      </w:pPr>
    </w:p>
    <w:tbl>
      <w:tblPr>
        <w:tblW w:w="3188" w:type="pct"/>
        <w:jc w:val="center"/>
        <w:tblCellMar>
          <w:left w:w="70" w:type="dxa"/>
          <w:right w:w="70" w:type="dxa"/>
        </w:tblCellMar>
        <w:tblLook w:val="04A0" w:firstRow="1" w:lastRow="0" w:firstColumn="1" w:lastColumn="0" w:noHBand="0" w:noVBand="1"/>
      </w:tblPr>
      <w:tblGrid>
        <w:gridCol w:w="1303"/>
        <w:gridCol w:w="939"/>
        <w:gridCol w:w="1047"/>
        <w:gridCol w:w="896"/>
        <w:gridCol w:w="899"/>
        <w:gridCol w:w="1055"/>
      </w:tblGrid>
      <w:tr w:rsidR="00236E31" w:rsidRPr="00236E31" w:rsidTr="00270701">
        <w:trPr>
          <w:trHeight w:val="246"/>
          <w:jc w:val="center"/>
        </w:trPr>
        <w:tc>
          <w:tcPr>
            <w:tcW w:w="5000" w:type="pct"/>
            <w:gridSpan w:val="6"/>
            <w:tcBorders>
              <w:top w:val="single" w:sz="4" w:space="0" w:color="548235"/>
              <w:left w:val="single" w:sz="4" w:space="0" w:color="548235"/>
              <w:bottom w:val="single" w:sz="6" w:space="0" w:color="548235"/>
              <w:right w:val="single" w:sz="4" w:space="0" w:color="548235"/>
            </w:tcBorders>
            <w:shd w:val="clear" w:color="000000" w:fill="A9D08E"/>
            <w:noWrap/>
            <w:vAlign w:val="center"/>
            <w:hideMark/>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eastAsia="es-MX"/>
              </w:rPr>
              <w:t>Personal de la FND para supervisar</w:t>
            </w:r>
          </w:p>
        </w:tc>
      </w:tr>
      <w:tr w:rsidR="00236E31" w:rsidRPr="00236E31" w:rsidTr="00270701">
        <w:trPr>
          <w:trHeight w:val="246"/>
          <w:jc w:val="center"/>
        </w:trPr>
        <w:tc>
          <w:tcPr>
            <w:tcW w:w="1061" w:type="pct"/>
            <w:tcBorders>
              <w:top w:val="nil"/>
              <w:left w:val="single" w:sz="4" w:space="0" w:color="548235"/>
              <w:bottom w:val="single" w:sz="4" w:space="0" w:color="548235"/>
              <w:right w:val="single" w:sz="4" w:space="0" w:color="548235"/>
            </w:tcBorders>
            <w:shd w:val="clear" w:color="000000" w:fill="A9D08E"/>
            <w:noWrap/>
            <w:vAlign w:val="center"/>
            <w:hideMark/>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val="es-MX" w:eastAsia="es-MX"/>
              </w:rPr>
              <w:t> </w:t>
            </w:r>
          </w:p>
        </w:tc>
        <w:tc>
          <w:tcPr>
            <w:tcW w:w="765" w:type="pct"/>
            <w:tcBorders>
              <w:top w:val="single" w:sz="6" w:space="0" w:color="548235"/>
              <w:left w:val="nil"/>
              <w:bottom w:val="single" w:sz="4" w:space="0" w:color="548235"/>
              <w:right w:val="single" w:sz="6" w:space="0" w:color="548235"/>
            </w:tcBorders>
            <w:shd w:val="clear" w:color="000000" w:fill="A9D08E"/>
            <w:noWrap/>
            <w:vAlign w:val="center"/>
            <w:hideMark/>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eastAsia="es-MX"/>
              </w:rPr>
              <w:t>2014</w:t>
            </w:r>
          </w:p>
        </w:tc>
        <w:tc>
          <w:tcPr>
            <w:tcW w:w="853" w:type="pct"/>
            <w:tcBorders>
              <w:top w:val="single" w:sz="6" w:space="0" w:color="548235"/>
              <w:left w:val="single" w:sz="6" w:space="0" w:color="548235"/>
              <w:bottom w:val="single" w:sz="4" w:space="0" w:color="548235"/>
              <w:right w:val="single" w:sz="6" w:space="0" w:color="548235"/>
            </w:tcBorders>
            <w:shd w:val="clear" w:color="000000" w:fill="A9D08E"/>
            <w:noWrap/>
            <w:vAlign w:val="center"/>
            <w:hideMark/>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eastAsia="es-MX"/>
              </w:rPr>
              <w:t>2015</w:t>
            </w:r>
          </w:p>
        </w:tc>
        <w:tc>
          <w:tcPr>
            <w:tcW w:w="730" w:type="pct"/>
            <w:tcBorders>
              <w:top w:val="single" w:sz="6" w:space="0" w:color="548235"/>
              <w:left w:val="single" w:sz="6" w:space="0" w:color="548235"/>
              <w:bottom w:val="single" w:sz="4" w:space="0" w:color="548235"/>
              <w:right w:val="single" w:sz="6" w:space="0" w:color="548235"/>
            </w:tcBorders>
            <w:shd w:val="clear" w:color="000000" w:fill="A9D08E"/>
            <w:noWrap/>
            <w:vAlign w:val="center"/>
            <w:hideMark/>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eastAsia="es-MX"/>
              </w:rPr>
              <w:t>2016</w:t>
            </w:r>
          </w:p>
        </w:tc>
        <w:tc>
          <w:tcPr>
            <w:tcW w:w="732" w:type="pct"/>
            <w:tcBorders>
              <w:top w:val="single" w:sz="6" w:space="0" w:color="548235"/>
              <w:left w:val="single" w:sz="6" w:space="0" w:color="548235"/>
              <w:bottom w:val="single" w:sz="4" w:space="0" w:color="548235"/>
              <w:right w:val="single" w:sz="6" w:space="0" w:color="548235"/>
            </w:tcBorders>
            <w:shd w:val="clear" w:color="000000" w:fill="A9D08E"/>
            <w:noWrap/>
            <w:vAlign w:val="center"/>
            <w:hideMark/>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eastAsia="es-MX"/>
              </w:rPr>
              <w:t>2017</w:t>
            </w:r>
          </w:p>
        </w:tc>
        <w:tc>
          <w:tcPr>
            <w:tcW w:w="857" w:type="pct"/>
            <w:tcBorders>
              <w:top w:val="single" w:sz="6" w:space="0" w:color="548235"/>
              <w:left w:val="single" w:sz="6" w:space="0" w:color="548235"/>
              <w:bottom w:val="single" w:sz="4" w:space="0" w:color="548235"/>
              <w:right w:val="single" w:sz="4" w:space="0" w:color="548235"/>
            </w:tcBorders>
            <w:shd w:val="clear" w:color="000000" w:fill="A9D08E"/>
            <w:noWrap/>
            <w:vAlign w:val="center"/>
            <w:hideMark/>
          </w:tcPr>
          <w:p w:rsidR="00236E31" w:rsidRPr="00236E31" w:rsidRDefault="00236E31" w:rsidP="00236E31">
            <w:pPr>
              <w:jc w:val="center"/>
              <w:rPr>
                <w:rFonts w:ascii="Arial" w:eastAsia="Times New Roman" w:hAnsi="Arial" w:cs="Arial"/>
                <w:b/>
                <w:bCs/>
                <w:color w:val="000000"/>
                <w:sz w:val="20"/>
                <w:szCs w:val="20"/>
                <w:lang w:val="es-MX" w:eastAsia="es-MX"/>
              </w:rPr>
            </w:pPr>
            <w:r w:rsidRPr="00236E31">
              <w:rPr>
                <w:rFonts w:ascii="Arial" w:eastAsia="Times New Roman" w:hAnsi="Arial" w:cs="Arial"/>
                <w:b/>
                <w:bCs/>
                <w:color w:val="000000"/>
                <w:sz w:val="20"/>
                <w:szCs w:val="20"/>
                <w:lang w:eastAsia="es-MX"/>
              </w:rPr>
              <w:t>2018</w:t>
            </w:r>
          </w:p>
        </w:tc>
      </w:tr>
      <w:tr w:rsidR="00236E31" w:rsidRPr="00236E31" w:rsidTr="00270701">
        <w:trPr>
          <w:trHeight w:val="246"/>
          <w:jc w:val="center"/>
        </w:trPr>
        <w:tc>
          <w:tcPr>
            <w:tcW w:w="1061" w:type="pct"/>
            <w:tcBorders>
              <w:top w:val="nil"/>
              <w:left w:val="single" w:sz="4" w:space="0" w:color="548235"/>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eastAsia="es-MX"/>
              </w:rPr>
              <w:t>Estructura</w:t>
            </w:r>
          </w:p>
        </w:tc>
        <w:tc>
          <w:tcPr>
            <w:tcW w:w="765" w:type="pct"/>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eastAsia="es-MX"/>
              </w:rPr>
              <w:t>12</w:t>
            </w:r>
          </w:p>
        </w:tc>
        <w:tc>
          <w:tcPr>
            <w:tcW w:w="853" w:type="pct"/>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eastAsia="es-MX"/>
              </w:rPr>
              <w:t>12</w:t>
            </w:r>
          </w:p>
        </w:tc>
        <w:tc>
          <w:tcPr>
            <w:tcW w:w="730" w:type="pct"/>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eastAsia="es-MX"/>
              </w:rPr>
              <w:t>16</w:t>
            </w:r>
          </w:p>
        </w:tc>
        <w:tc>
          <w:tcPr>
            <w:tcW w:w="732" w:type="pct"/>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eastAsia="es-MX"/>
              </w:rPr>
              <w:t>17</w:t>
            </w:r>
          </w:p>
        </w:tc>
        <w:tc>
          <w:tcPr>
            <w:tcW w:w="857" w:type="pct"/>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eastAsia="es-MX"/>
              </w:rPr>
              <w:t>17</w:t>
            </w:r>
          </w:p>
        </w:tc>
      </w:tr>
      <w:tr w:rsidR="00236E31" w:rsidRPr="00236E31" w:rsidTr="00270701">
        <w:trPr>
          <w:trHeight w:val="246"/>
          <w:jc w:val="center"/>
        </w:trPr>
        <w:tc>
          <w:tcPr>
            <w:tcW w:w="1061" w:type="pct"/>
            <w:tcBorders>
              <w:top w:val="nil"/>
              <w:left w:val="single" w:sz="4" w:space="0" w:color="548235"/>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proofErr w:type="spellStart"/>
            <w:r w:rsidRPr="00236E31">
              <w:rPr>
                <w:rFonts w:ascii="Arial" w:eastAsia="Times New Roman" w:hAnsi="Arial" w:cs="Arial"/>
                <w:color w:val="000000"/>
                <w:sz w:val="20"/>
                <w:szCs w:val="20"/>
                <w:lang w:eastAsia="es-MX"/>
              </w:rPr>
              <w:t>Outsourcing</w:t>
            </w:r>
            <w:proofErr w:type="spellEnd"/>
          </w:p>
        </w:tc>
        <w:tc>
          <w:tcPr>
            <w:tcW w:w="765" w:type="pct"/>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eastAsia="es-MX"/>
              </w:rPr>
              <w:t>70</w:t>
            </w:r>
          </w:p>
        </w:tc>
        <w:tc>
          <w:tcPr>
            <w:tcW w:w="853" w:type="pct"/>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eastAsia="es-MX"/>
              </w:rPr>
              <w:t>70</w:t>
            </w:r>
          </w:p>
        </w:tc>
        <w:tc>
          <w:tcPr>
            <w:tcW w:w="730" w:type="pct"/>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eastAsia="es-MX"/>
              </w:rPr>
              <w:t>61</w:t>
            </w:r>
          </w:p>
        </w:tc>
        <w:tc>
          <w:tcPr>
            <w:tcW w:w="732" w:type="pct"/>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eastAsia="es-MX"/>
              </w:rPr>
              <w:t>63</w:t>
            </w:r>
          </w:p>
        </w:tc>
        <w:tc>
          <w:tcPr>
            <w:tcW w:w="857" w:type="pct"/>
            <w:tcBorders>
              <w:top w:val="nil"/>
              <w:left w:val="nil"/>
              <w:bottom w:val="single" w:sz="4" w:space="0" w:color="548235"/>
              <w:right w:val="single" w:sz="4" w:space="0" w:color="548235"/>
            </w:tcBorders>
            <w:shd w:val="clear" w:color="auto" w:fill="auto"/>
            <w:noWrap/>
            <w:vAlign w:val="bottom"/>
            <w:hideMark/>
          </w:tcPr>
          <w:p w:rsidR="00236E31" w:rsidRPr="00236E31" w:rsidRDefault="00236E31" w:rsidP="00236E31">
            <w:pPr>
              <w:jc w:val="center"/>
              <w:rPr>
                <w:rFonts w:ascii="Arial" w:eastAsia="Times New Roman" w:hAnsi="Arial" w:cs="Arial"/>
                <w:color w:val="000000"/>
                <w:sz w:val="20"/>
                <w:szCs w:val="20"/>
                <w:lang w:val="es-MX" w:eastAsia="es-MX"/>
              </w:rPr>
            </w:pPr>
            <w:r w:rsidRPr="00236E31">
              <w:rPr>
                <w:rFonts w:ascii="Arial" w:eastAsia="Times New Roman" w:hAnsi="Arial" w:cs="Arial"/>
                <w:color w:val="000000"/>
                <w:sz w:val="20"/>
                <w:szCs w:val="20"/>
                <w:lang w:eastAsia="es-MX"/>
              </w:rPr>
              <w:t>62</w:t>
            </w:r>
          </w:p>
        </w:tc>
      </w:tr>
    </w:tbl>
    <w:p w:rsidR="00236E31" w:rsidRPr="00236E31" w:rsidRDefault="00236E31" w:rsidP="00236E31">
      <w:pPr>
        <w:jc w:val="both"/>
        <w:rPr>
          <w:rFonts w:ascii="Arial" w:hAnsi="Arial" w:cs="Arial"/>
          <w:sz w:val="20"/>
          <w:szCs w:val="20"/>
        </w:rPr>
      </w:pPr>
    </w:p>
    <w:p w:rsidR="00236E31" w:rsidRDefault="00236E31" w:rsidP="00236E31">
      <w:pPr>
        <w:jc w:val="both"/>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236E31" w:rsidRPr="009042B2" w:rsidTr="00270701">
        <w:tc>
          <w:tcPr>
            <w:tcW w:w="2122" w:type="dxa"/>
          </w:tcPr>
          <w:p w:rsidR="00236E31" w:rsidRPr="009042B2" w:rsidRDefault="00236E31" w:rsidP="00EF339C">
            <w:pPr>
              <w:ind w:left="-105"/>
              <w:jc w:val="both"/>
              <w:rPr>
                <w:rFonts w:ascii="Arial" w:hAnsi="Arial" w:cs="Arial"/>
                <w:b/>
                <w:sz w:val="21"/>
                <w:szCs w:val="21"/>
              </w:rPr>
            </w:pPr>
            <w:r w:rsidRPr="009042B2">
              <w:rPr>
                <w:rFonts w:ascii="Arial" w:hAnsi="Arial" w:cs="Arial"/>
                <w:b/>
                <w:sz w:val="21"/>
                <w:szCs w:val="21"/>
              </w:rPr>
              <w:t>Acción Correctiva relacionada con la observación  5</w:t>
            </w:r>
          </w:p>
        </w:tc>
        <w:tc>
          <w:tcPr>
            <w:tcW w:w="6706" w:type="dxa"/>
          </w:tcPr>
          <w:p w:rsidR="00236E31" w:rsidRPr="009042B2" w:rsidRDefault="00236E31" w:rsidP="00A7447B">
            <w:pPr>
              <w:numPr>
                <w:ilvl w:val="0"/>
                <w:numId w:val="43"/>
              </w:numPr>
              <w:ind w:left="607" w:hanging="279"/>
              <w:contextualSpacing/>
              <w:jc w:val="both"/>
              <w:rPr>
                <w:rFonts w:ascii="Arial" w:hAnsi="Arial" w:cs="Arial"/>
                <w:sz w:val="21"/>
                <w:szCs w:val="21"/>
              </w:rPr>
            </w:pPr>
            <w:r w:rsidRPr="009042B2">
              <w:rPr>
                <w:rFonts w:ascii="Arial" w:hAnsi="Arial" w:cs="Arial"/>
                <w:sz w:val="21"/>
                <w:szCs w:val="21"/>
              </w:rPr>
              <w:t>Proporcionar evidencia de la correcta integración de los expedientes de crédito.</w:t>
            </w:r>
          </w:p>
          <w:p w:rsidR="00236E31" w:rsidRPr="009042B2" w:rsidRDefault="00236E31" w:rsidP="00A7447B">
            <w:pPr>
              <w:numPr>
                <w:ilvl w:val="0"/>
                <w:numId w:val="43"/>
              </w:numPr>
              <w:ind w:left="607" w:hanging="279"/>
              <w:contextualSpacing/>
              <w:jc w:val="both"/>
              <w:rPr>
                <w:rFonts w:ascii="Arial" w:hAnsi="Arial" w:cs="Arial"/>
                <w:sz w:val="21"/>
                <w:szCs w:val="21"/>
              </w:rPr>
            </w:pPr>
            <w:r w:rsidRPr="009042B2">
              <w:rPr>
                <w:rFonts w:ascii="Arial" w:hAnsi="Arial" w:cs="Arial"/>
                <w:sz w:val="21"/>
                <w:szCs w:val="21"/>
              </w:rPr>
              <w:t>Remitir acciones y medidas de control a implementar con el fin de que la totalidad de sus expedientes de crédito cuenten con la documentación necesaria que permita la comprobación del destino final de los recursos del crédito y la garantía.</w:t>
            </w:r>
          </w:p>
        </w:tc>
      </w:tr>
    </w:tbl>
    <w:p w:rsidR="00236E31" w:rsidRPr="009042B2" w:rsidRDefault="00236E31" w:rsidP="00236E31">
      <w:pPr>
        <w:jc w:val="both"/>
        <w:rPr>
          <w:rFonts w:ascii="Arial" w:hAnsi="Arial" w:cs="Arial"/>
          <w:b/>
          <w:sz w:val="21"/>
          <w:szCs w:val="21"/>
        </w:rPr>
      </w:pPr>
    </w:p>
    <w:p w:rsidR="00995F89" w:rsidRPr="009042B2" w:rsidRDefault="00995F89" w:rsidP="00236E31">
      <w:pPr>
        <w:jc w:val="both"/>
        <w:rPr>
          <w:rFonts w:ascii="Arial" w:hAnsi="Arial" w:cs="Arial"/>
          <w:b/>
          <w:sz w:val="21"/>
          <w:szCs w:val="21"/>
        </w:rPr>
      </w:pPr>
    </w:p>
    <w:p w:rsidR="00236E31" w:rsidRPr="009042B2" w:rsidRDefault="00236E31" w:rsidP="00236E31">
      <w:pPr>
        <w:jc w:val="both"/>
        <w:rPr>
          <w:rFonts w:ascii="Arial" w:hAnsi="Arial" w:cs="Arial"/>
          <w:b/>
          <w:sz w:val="21"/>
          <w:szCs w:val="21"/>
        </w:rPr>
      </w:pPr>
      <w:r w:rsidRPr="009042B2">
        <w:rPr>
          <w:rFonts w:ascii="Arial" w:hAnsi="Arial" w:cs="Arial"/>
          <w:b/>
          <w:sz w:val="21"/>
          <w:szCs w:val="21"/>
        </w:rPr>
        <w:t>Respuesta:</w:t>
      </w:r>
    </w:p>
    <w:p w:rsidR="00236E31" w:rsidRPr="009042B2" w:rsidRDefault="00236E31" w:rsidP="00236E31">
      <w:pPr>
        <w:jc w:val="both"/>
        <w:rPr>
          <w:rFonts w:ascii="Arial" w:hAnsi="Arial" w:cs="Arial"/>
          <w:i/>
          <w:sz w:val="21"/>
          <w:szCs w:val="21"/>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La FND atendió con base en su Normatividad los 61 casos observados, de acuerdo a lo siguiente:</w:t>
      </w:r>
    </w:p>
    <w:p w:rsidR="00236E31" w:rsidRPr="00236E31" w:rsidRDefault="00236E31" w:rsidP="00236E31">
      <w:pPr>
        <w:jc w:val="both"/>
        <w:rPr>
          <w:rFonts w:ascii="Arial" w:hAnsi="Arial" w:cs="Arial"/>
          <w:sz w:val="20"/>
          <w:szCs w:val="20"/>
        </w:rPr>
      </w:pPr>
    </w:p>
    <w:tbl>
      <w:tblPr>
        <w:tblW w:w="5337" w:type="dxa"/>
        <w:jc w:val="center"/>
        <w:tblCellMar>
          <w:left w:w="70" w:type="dxa"/>
          <w:right w:w="70" w:type="dxa"/>
        </w:tblCellMar>
        <w:tblLook w:val="04A0" w:firstRow="1" w:lastRow="0" w:firstColumn="1" w:lastColumn="0" w:noHBand="0" w:noVBand="1"/>
      </w:tblPr>
      <w:tblGrid>
        <w:gridCol w:w="1294"/>
        <w:gridCol w:w="1488"/>
        <w:gridCol w:w="1218"/>
        <w:gridCol w:w="1504"/>
      </w:tblGrid>
      <w:tr w:rsidR="00236E31" w:rsidRPr="00236E31" w:rsidTr="00270701">
        <w:trPr>
          <w:trHeight w:val="251"/>
          <w:jc w:val="center"/>
        </w:trPr>
        <w:tc>
          <w:tcPr>
            <w:tcW w:w="1294" w:type="dxa"/>
            <w:tcBorders>
              <w:top w:val="single" w:sz="4" w:space="0" w:color="auto"/>
              <w:left w:val="single" w:sz="4" w:space="0" w:color="auto"/>
              <w:bottom w:val="single" w:sz="4" w:space="0" w:color="auto"/>
              <w:right w:val="single" w:sz="4" w:space="0" w:color="auto"/>
            </w:tcBorders>
            <w:shd w:val="clear" w:color="auto" w:fill="9AC579"/>
            <w:noWrap/>
            <w:vAlign w:val="center"/>
            <w:hideMark/>
          </w:tcPr>
          <w:p w:rsidR="00236E31" w:rsidRPr="00236E31" w:rsidRDefault="00236E31" w:rsidP="00236E31">
            <w:pPr>
              <w:jc w:val="center"/>
              <w:rPr>
                <w:rFonts w:ascii="Arial" w:hAnsi="Arial" w:cs="Arial"/>
                <w:b/>
                <w:sz w:val="20"/>
                <w:szCs w:val="20"/>
              </w:rPr>
            </w:pPr>
            <w:r w:rsidRPr="00236E31">
              <w:rPr>
                <w:rFonts w:ascii="Arial" w:hAnsi="Arial" w:cs="Arial"/>
                <w:b/>
                <w:sz w:val="20"/>
                <w:szCs w:val="20"/>
              </w:rPr>
              <w:t>Regional</w:t>
            </w:r>
          </w:p>
        </w:tc>
        <w:tc>
          <w:tcPr>
            <w:tcW w:w="1488" w:type="dxa"/>
            <w:tcBorders>
              <w:top w:val="single" w:sz="4" w:space="0" w:color="auto"/>
              <w:left w:val="nil"/>
              <w:bottom w:val="single" w:sz="4" w:space="0" w:color="auto"/>
              <w:right w:val="single" w:sz="4" w:space="0" w:color="auto"/>
            </w:tcBorders>
            <w:shd w:val="clear" w:color="auto" w:fill="9AC579"/>
            <w:noWrap/>
            <w:vAlign w:val="center"/>
            <w:hideMark/>
          </w:tcPr>
          <w:p w:rsidR="00236E31" w:rsidRPr="00236E31" w:rsidRDefault="00236E31" w:rsidP="00236E31">
            <w:pPr>
              <w:jc w:val="center"/>
              <w:rPr>
                <w:rFonts w:ascii="Arial" w:hAnsi="Arial" w:cs="Arial"/>
                <w:b/>
                <w:sz w:val="20"/>
                <w:szCs w:val="20"/>
              </w:rPr>
            </w:pPr>
            <w:r w:rsidRPr="00236E31">
              <w:rPr>
                <w:rFonts w:ascii="Arial" w:hAnsi="Arial" w:cs="Arial"/>
                <w:b/>
                <w:sz w:val="20"/>
                <w:szCs w:val="20"/>
              </w:rPr>
              <w:t>Crédito Liquidado</w:t>
            </w:r>
          </w:p>
        </w:tc>
        <w:tc>
          <w:tcPr>
            <w:tcW w:w="1051" w:type="dxa"/>
            <w:tcBorders>
              <w:top w:val="single" w:sz="4" w:space="0" w:color="auto"/>
              <w:left w:val="nil"/>
              <w:bottom w:val="single" w:sz="4" w:space="0" w:color="auto"/>
              <w:right w:val="single" w:sz="4" w:space="0" w:color="auto"/>
            </w:tcBorders>
            <w:shd w:val="clear" w:color="auto" w:fill="9AC579"/>
            <w:noWrap/>
            <w:vAlign w:val="center"/>
            <w:hideMark/>
          </w:tcPr>
          <w:p w:rsidR="00236E31" w:rsidRPr="00236E31" w:rsidRDefault="00236E31" w:rsidP="00236E31">
            <w:pPr>
              <w:jc w:val="center"/>
              <w:rPr>
                <w:rFonts w:ascii="Arial" w:hAnsi="Arial" w:cs="Arial"/>
                <w:b/>
                <w:sz w:val="20"/>
                <w:szCs w:val="20"/>
              </w:rPr>
            </w:pPr>
            <w:r w:rsidRPr="00236E31">
              <w:rPr>
                <w:rFonts w:ascii="Arial" w:hAnsi="Arial" w:cs="Arial"/>
                <w:b/>
                <w:sz w:val="20"/>
                <w:szCs w:val="20"/>
              </w:rPr>
              <w:t>Solventado</w:t>
            </w:r>
          </w:p>
        </w:tc>
        <w:tc>
          <w:tcPr>
            <w:tcW w:w="1504" w:type="dxa"/>
            <w:tcBorders>
              <w:top w:val="single" w:sz="4" w:space="0" w:color="auto"/>
              <w:left w:val="nil"/>
              <w:bottom w:val="single" w:sz="4" w:space="0" w:color="auto"/>
              <w:right w:val="single" w:sz="4" w:space="0" w:color="auto"/>
            </w:tcBorders>
            <w:shd w:val="clear" w:color="auto" w:fill="9AC579"/>
            <w:noWrap/>
            <w:vAlign w:val="center"/>
            <w:hideMark/>
          </w:tcPr>
          <w:p w:rsidR="00236E31" w:rsidRPr="00236E31" w:rsidRDefault="00236E31" w:rsidP="00236E31">
            <w:pPr>
              <w:jc w:val="center"/>
              <w:rPr>
                <w:rFonts w:ascii="Arial" w:hAnsi="Arial" w:cs="Arial"/>
                <w:b/>
                <w:sz w:val="20"/>
                <w:szCs w:val="20"/>
              </w:rPr>
            </w:pPr>
            <w:r w:rsidRPr="00236E31">
              <w:rPr>
                <w:rFonts w:ascii="Arial" w:hAnsi="Arial" w:cs="Arial"/>
                <w:b/>
                <w:sz w:val="20"/>
                <w:szCs w:val="20"/>
              </w:rPr>
              <w:t>Turnado a Jurídico</w:t>
            </w:r>
          </w:p>
        </w:tc>
      </w:tr>
      <w:tr w:rsidR="00236E31" w:rsidRPr="00236E31" w:rsidTr="00270701">
        <w:trPr>
          <w:trHeight w:val="251"/>
          <w:jc w:val="center"/>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236E31" w:rsidRPr="00236E31" w:rsidRDefault="00236E31" w:rsidP="00236E31">
            <w:pPr>
              <w:rPr>
                <w:rFonts w:ascii="Arial" w:hAnsi="Arial" w:cs="Arial"/>
                <w:sz w:val="20"/>
                <w:szCs w:val="20"/>
              </w:rPr>
            </w:pPr>
            <w:r w:rsidRPr="00236E31">
              <w:rPr>
                <w:rFonts w:ascii="Arial" w:hAnsi="Arial" w:cs="Arial"/>
                <w:sz w:val="20"/>
                <w:szCs w:val="20"/>
              </w:rPr>
              <w:t>Norte</w:t>
            </w:r>
          </w:p>
        </w:tc>
        <w:tc>
          <w:tcPr>
            <w:tcW w:w="1488"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sz w:val="20"/>
                <w:szCs w:val="20"/>
              </w:rPr>
            </w:pPr>
            <w:r w:rsidRPr="00236E31">
              <w:rPr>
                <w:rFonts w:ascii="Arial" w:hAnsi="Arial" w:cs="Arial"/>
                <w:sz w:val="20"/>
                <w:szCs w:val="20"/>
              </w:rPr>
              <w:t>5</w:t>
            </w:r>
          </w:p>
        </w:tc>
        <w:tc>
          <w:tcPr>
            <w:tcW w:w="1051"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sz w:val="20"/>
                <w:szCs w:val="20"/>
              </w:rPr>
            </w:pPr>
            <w:r w:rsidRPr="00236E31">
              <w:rPr>
                <w:rFonts w:ascii="Arial" w:hAnsi="Arial" w:cs="Arial"/>
                <w:sz w:val="20"/>
                <w:szCs w:val="20"/>
              </w:rPr>
              <w:t>6</w:t>
            </w:r>
          </w:p>
        </w:tc>
        <w:tc>
          <w:tcPr>
            <w:tcW w:w="1504"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sz w:val="20"/>
                <w:szCs w:val="20"/>
              </w:rPr>
            </w:pPr>
            <w:r w:rsidRPr="00236E31">
              <w:rPr>
                <w:rFonts w:ascii="Arial" w:hAnsi="Arial" w:cs="Arial"/>
                <w:sz w:val="20"/>
                <w:szCs w:val="20"/>
              </w:rPr>
              <w:t>31</w:t>
            </w:r>
          </w:p>
        </w:tc>
      </w:tr>
      <w:tr w:rsidR="00236E31" w:rsidRPr="00236E31" w:rsidTr="00270701">
        <w:trPr>
          <w:trHeight w:val="251"/>
          <w:jc w:val="center"/>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236E31" w:rsidRPr="00236E31" w:rsidRDefault="00236E31" w:rsidP="00236E31">
            <w:pPr>
              <w:rPr>
                <w:rFonts w:ascii="Arial" w:hAnsi="Arial" w:cs="Arial"/>
                <w:sz w:val="20"/>
                <w:szCs w:val="20"/>
              </w:rPr>
            </w:pPr>
            <w:r w:rsidRPr="00236E31">
              <w:rPr>
                <w:rFonts w:ascii="Arial" w:hAnsi="Arial" w:cs="Arial"/>
                <w:sz w:val="20"/>
                <w:szCs w:val="20"/>
              </w:rPr>
              <w:t>Sur</w:t>
            </w:r>
          </w:p>
        </w:tc>
        <w:tc>
          <w:tcPr>
            <w:tcW w:w="1488"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sz w:val="20"/>
                <w:szCs w:val="20"/>
              </w:rPr>
            </w:pPr>
            <w:r w:rsidRPr="00236E31">
              <w:rPr>
                <w:rFonts w:ascii="Arial" w:hAnsi="Arial" w:cs="Arial"/>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sz w:val="20"/>
                <w:szCs w:val="20"/>
              </w:rPr>
            </w:pPr>
            <w:r w:rsidRPr="00236E31">
              <w:rPr>
                <w:rFonts w:ascii="Arial" w:hAnsi="Arial" w:cs="Arial"/>
                <w:sz w:val="20"/>
                <w:szCs w:val="20"/>
              </w:rPr>
              <w:t>5</w:t>
            </w:r>
          </w:p>
        </w:tc>
        <w:tc>
          <w:tcPr>
            <w:tcW w:w="1504"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sz w:val="20"/>
                <w:szCs w:val="20"/>
              </w:rPr>
            </w:pPr>
            <w:r w:rsidRPr="00236E31">
              <w:rPr>
                <w:rFonts w:ascii="Arial" w:hAnsi="Arial" w:cs="Arial"/>
                <w:sz w:val="20"/>
                <w:szCs w:val="20"/>
              </w:rPr>
              <w:t>1</w:t>
            </w:r>
          </w:p>
        </w:tc>
      </w:tr>
      <w:tr w:rsidR="00236E31" w:rsidRPr="00236E31" w:rsidTr="00270701">
        <w:trPr>
          <w:trHeight w:val="251"/>
          <w:jc w:val="center"/>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236E31" w:rsidRPr="00236E31" w:rsidRDefault="00236E31" w:rsidP="00236E31">
            <w:pPr>
              <w:rPr>
                <w:rFonts w:ascii="Arial" w:hAnsi="Arial" w:cs="Arial"/>
                <w:sz w:val="20"/>
                <w:szCs w:val="20"/>
              </w:rPr>
            </w:pPr>
            <w:r w:rsidRPr="00236E31">
              <w:rPr>
                <w:rFonts w:ascii="Arial" w:hAnsi="Arial" w:cs="Arial"/>
                <w:sz w:val="20"/>
                <w:szCs w:val="20"/>
              </w:rPr>
              <w:t>Sureste</w:t>
            </w:r>
          </w:p>
        </w:tc>
        <w:tc>
          <w:tcPr>
            <w:tcW w:w="1488"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sz w:val="20"/>
                <w:szCs w:val="20"/>
              </w:rPr>
            </w:pPr>
            <w:r w:rsidRPr="00236E31">
              <w:rPr>
                <w:rFonts w:ascii="Arial" w:hAnsi="Arial" w:cs="Arial"/>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sz w:val="20"/>
                <w:szCs w:val="20"/>
              </w:rPr>
            </w:pPr>
            <w:r w:rsidRPr="00236E31">
              <w:rPr>
                <w:rFonts w:ascii="Arial" w:hAnsi="Arial" w:cs="Arial"/>
                <w:sz w:val="20"/>
                <w:szCs w:val="20"/>
              </w:rPr>
              <w:t>12</w:t>
            </w:r>
          </w:p>
        </w:tc>
        <w:tc>
          <w:tcPr>
            <w:tcW w:w="1504"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sz w:val="20"/>
                <w:szCs w:val="20"/>
              </w:rPr>
            </w:pPr>
            <w:r w:rsidRPr="00236E31">
              <w:rPr>
                <w:rFonts w:ascii="Arial" w:hAnsi="Arial" w:cs="Arial"/>
                <w:sz w:val="20"/>
                <w:szCs w:val="20"/>
              </w:rPr>
              <w:t>1</w:t>
            </w:r>
          </w:p>
        </w:tc>
      </w:tr>
      <w:tr w:rsidR="00236E31" w:rsidRPr="00236E31" w:rsidTr="00270701">
        <w:trPr>
          <w:trHeight w:val="251"/>
          <w:jc w:val="center"/>
        </w:trPr>
        <w:tc>
          <w:tcPr>
            <w:tcW w:w="1294" w:type="dxa"/>
            <w:tcBorders>
              <w:top w:val="nil"/>
              <w:left w:val="single" w:sz="4" w:space="0" w:color="auto"/>
              <w:bottom w:val="single" w:sz="4" w:space="0" w:color="auto"/>
              <w:right w:val="single" w:sz="4" w:space="0" w:color="auto"/>
            </w:tcBorders>
            <w:shd w:val="clear" w:color="auto" w:fill="auto"/>
            <w:noWrap/>
            <w:vAlign w:val="bottom"/>
            <w:hideMark/>
          </w:tcPr>
          <w:p w:rsidR="00236E31" w:rsidRPr="00236E31" w:rsidRDefault="00236E31" w:rsidP="00236E31">
            <w:pPr>
              <w:rPr>
                <w:rFonts w:ascii="Arial" w:hAnsi="Arial" w:cs="Arial"/>
                <w:b/>
                <w:sz w:val="20"/>
                <w:szCs w:val="20"/>
              </w:rPr>
            </w:pPr>
            <w:r w:rsidRPr="00236E31">
              <w:rPr>
                <w:rFonts w:ascii="Arial" w:hAnsi="Arial" w:cs="Arial"/>
                <w:b/>
                <w:sz w:val="20"/>
                <w:szCs w:val="20"/>
              </w:rPr>
              <w:t>Total</w:t>
            </w:r>
          </w:p>
        </w:tc>
        <w:tc>
          <w:tcPr>
            <w:tcW w:w="1488"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b/>
                <w:sz w:val="20"/>
                <w:szCs w:val="20"/>
              </w:rPr>
            </w:pPr>
            <w:r w:rsidRPr="00236E31">
              <w:rPr>
                <w:rFonts w:ascii="Arial" w:hAnsi="Arial" w:cs="Arial"/>
                <w:b/>
                <w:sz w:val="20"/>
                <w:szCs w:val="20"/>
              </w:rPr>
              <w:t>5</w:t>
            </w:r>
          </w:p>
        </w:tc>
        <w:tc>
          <w:tcPr>
            <w:tcW w:w="1051"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b/>
                <w:sz w:val="20"/>
                <w:szCs w:val="20"/>
              </w:rPr>
            </w:pPr>
            <w:r w:rsidRPr="00236E31">
              <w:rPr>
                <w:rFonts w:ascii="Arial" w:hAnsi="Arial" w:cs="Arial"/>
                <w:b/>
                <w:sz w:val="20"/>
                <w:szCs w:val="20"/>
              </w:rPr>
              <w:t>23</w:t>
            </w:r>
          </w:p>
        </w:tc>
        <w:tc>
          <w:tcPr>
            <w:tcW w:w="1504" w:type="dxa"/>
            <w:tcBorders>
              <w:top w:val="nil"/>
              <w:left w:val="nil"/>
              <w:bottom w:val="single" w:sz="4" w:space="0" w:color="auto"/>
              <w:right w:val="single" w:sz="4" w:space="0" w:color="auto"/>
            </w:tcBorders>
            <w:shd w:val="clear" w:color="auto" w:fill="auto"/>
            <w:noWrap/>
            <w:vAlign w:val="bottom"/>
            <w:hideMark/>
          </w:tcPr>
          <w:p w:rsidR="00236E31" w:rsidRPr="00236E31" w:rsidRDefault="00236E31" w:rsidP="00236E31">
            <w:pPr>
              <w:jc w:val="center"/>
              <w:rPr>
                <w:rFonts w:ascii="Arial" w:hAnsi="Arial" w:cs="Arial"/>
                <w:b/>
                <w:sz w:val="20"/>
                <w:szCs w:val="20"/>
              </w:rPr>
            </w:pPr>
            <w:r w:rsidRPr="00236E31">
              <w:rPr>
                <w:rFonts w:ascii="Arial" w:hAnsi="Arial" w:cs="Arial"/>
                <w:b/>
                <w:sz w:val="20"/>
                <w:szCs w:val="20"/>
              </w:rPr>
              <w:t>33</w:t>
            </w:r>
          </w:p>
        </w:tc>
      </w:tr>
    </w:tbl>
    <w:p w:rsidR="00236E31" w:rsidRPr="00236E31" w:rsidRDefault="00236E31" w:rsidP="00236E31">
      <w:pPr>
        <w:jc w:val="both"/>
        <w:rPr>
          <w:rFonts w:ascii="Arial" w:hAnsi="Arial" w:cs="Arial"/>
          <w:sz w:val="20"/>
          <w:szCs w:val="20"/>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 xml:space="preserve">En el </w:t>
      </w:r>
      <w:r w:rsidRPr="009042B2">
        <w:rPr>
          <w:rFonts w:ascii="Arial" w:hAnsi="Arial" w:cs="Arial"/>
          <w:b/>
          <w:sz w:val="21"/>
          <w:szCs w:val="21"/>
        </w:rPr>
        <w:t>anexo 3</w:t>
      </w:r>
      <w:r w:rsidRPr="009042B2">
        <w:rPr>
          <w:rFonts w:ascii="Arial" w:hAnsi="Arial" w:cs="Arial"/>
          <w:sz w:val="21"/>
          <w:szCs w:val="21"/>
        </w:rPr>
        <w:t xml:space="preserve"> que se adjunta al presente se integra la documentación soporte.</w:t>
      </w:r>
    </w:p>
    <w:p w:rsidR="00236E31" w:rsidRPr="009042B2" w:rsidRDefault="00236E31" w:rsidP="00236E31">
      <w:pPr>
        <w:jc w:val="both"/>
        <w:rPr>
          <w:rFonts w:ascii="Arial" w:hAnsi="Arial" w:cs="Arial"/>
          <w:b/>
          <w:sz w:val="21"/>
          <w:szCs w:val="21"/>
        </w:rPr>
      </w:pPr>
    </w:p>
    <w:p w:rsidR="00995F89" w:rsidRDefault="00995F89" w:rsidP="00236E31">
      <w:pPr>
        <w:jc w:val="both"/>
        <w:rPr>
          <w:rFonts w:ascii="Arial" w:hAnsi="Arial" w:cs="Arial"/>
          <w:b/>
          <w:sz w:val="21"/>
          <w:szCs w:val="21"/>
        </w:rPr>
      </w:pPr>
    </w:p>
    <w:p w:rsidR="00A407AA" w:rsidRDefault="00A407AA" w:rsidP="00236E31">
      <w:pPr>
        <w:jc w:val="both"/>
        <w:rPr>
          <w:rFonts w:ascii="Arial" w:hAnsi="Arial" w:cs="Arial"/>
          <w:b/>
          <w:sz w:val="21"/>
          <w:szCs w:val="21"/>
        </w:rPr>
      </w:pPr>
    </w:p>
    <w:p w:rsidR="00A407AA" w:rsidRDefault="00A407AA" w:rsidP="00236E31">
      <w:pPr>
        <w:jc w:val="both"/>
        <w:rPr>
          <w:rFonts w:ascii="Arial" w:hAnsi="Arial" w:cs="Arial"/>
          <w:b/>
          <w:sz w:val="21"/>
          <w:szCs w:val="21"/>
        </w:rPr>
      </w:pPr>
    </w:p>
    <w:p w:rsidR="00A407AA" w:rsidRDefault="00A407AA" w:rsidP="00236E31">
      <w:pPr>
        <w:jc w:val="both"/>
        <w:rPr>
          <w:rFonts w:ascii="Arial" w:hAnsi="Arial" w:cs="Arial"/>
          <w:b/>
          <w:sz w:val="21"/>
          <w:szCs w:val="21"/>
        </w:rPr>
      </w:pPr>
    </w:p>
    <w:p w:rsidR="00A407AA" w:rsidRDefault="00A407AA" w:rsidP="00236E31">
      <w:pPr>
        <w:jc w:val="both"/>
        <w:rPr>
          <w:rFonts w:ascii="Arial" w:hAnsi="Arial" w:cs="Arial"/>
          <w:b/>
          <w:sz w:val="21"/>
          <w:szCs w:val="21"/>
        </w:rPr>
      </w:pPr>
    </w:p>
    <w:p w:rsidR="00236E31" w:rsidRPr="009042B2" w:rsidRDefault="00236E31" w:rsidP="00236E31">
      <w:pPr>
        <w:numPr>
          <w:ilvl w:val="0"/>
          <w:numId w:val="44"/>
        </w:numPr>
        <w:contextualSpacing/>
        <w:jc w:val="both"/>
        <w:rPr>
          <w:rFonts w:ascii="Arial" w:hAnsi="Arial" w:cs="Arial"/>
          <w:b/>
          <w:sz w:val="21"/>
          <w:szCs w:val="21"/>
        </w:rPr>
      </w:pPr>
      <w:r w:rsidRPr="009042B2">
        <w:rPr>
          <w:rFonts w:ascii="Arial" w:hAnsi="Arial" w:cs="Arial"/>
          <w:b/>
          <w:sz w:val="21"/>
          <w:szCs w:val="21"/>
        </w:rPr>
        <w:lastRenderedPageBreak/>
        <w:t>RECOMENDACIONES</w:t>
      </w:r>
    </w:p>
    <w:p w:rsidR="00236E31" w:rsidRPr="009042B2" w:rsidRDefault="00236E31" w:rsidP="00236E31">
      <w:pPr>
        <w:jc w:val="both"/>
        <w:rPr>
          <w:rFonts w:ascii="Arial" w:hAnsi="Arial" w:cs="Arial"/>
          <w:b/>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236E31" w:rsidRPr="009042B2" w:rsidTr="00270701">
        <w:tc>
          <w:tcPr>
            <w:tcW w:w="2122" w:type="dxa"/>
          </w:tcPr>
          <w:p w:rsidR="00236E31" w:rsidRPr="009042B2" w:rsidRDefault="00236E31" w:rsidP="00A7447B">
            <w:pPr>
              <w:ind w:hanging="105"/>
              <w:jc w:val="both"/>
              <w:rPr>
                <w:rFonts w:ascii="Arial" w:hAnsi="Arial" w:cs="Arial"/>
                <w:b/>
                <w:sz w:val="21"/>
                <w:szCs w:val="21"/>
              </w:rPr>
            </w:pPr>
            <w:r w:rsidRPr="009042B2">
              <w:rPr>
                <w:rFonts w:ascii="Arial" w:hAnsi="Arial" w:cs="Arial"/>
                <w:b/>
                <w:sz w:val="21"/>
                <w:szCs w:val="21"/>
              </w:rPr>
              <w:t>Recomendación 2</w:t>
            </w:r>
          </w:p>
        </w:tc>
        <w:tc>
          <w:tcPr>
            <w:tcW w:w="6706" w:type="dxa"/>
          </w:tcPr>
          <w:p w:rsidR="00236E31" w:rsidRPr="009042B2" w:rsidRDefault="00236E31" w:rsidP="00236E31">
            <w:pPr>
              <w:jc w:val="both"/>
              <w:rPr>
                <w:rFonts w:ascii="Arial" w:hAnsi="Arial" w:cs="Arial"/>
                <w:sz w:val="21"/>
                <w:szCs w:val="21"/>
              </w:rPr>
            </w:pPr>
            <w:r w:rsidRPr="009042B2">
              <w:rPr>
                <w:rFonts w:ascii="Arial" w:hAnsi="Arial" w:cs="Arial"/>
                <w:sz w:val="21"/>
                <w:szCs w:val="21"/>
              </w:rPr>
              <w:t>Acreditados Relacionados</w:t>
            </w:r>
          </w:p>
        </w:tc>
      </w:tr>
    </w:tbl>
    <w:p w:rsidR="00236E31" w:rsidRPr="009042B2" w:rsidRDefault="00236E31" w:rsidP="00236E31">
      <w:pPr>
        <w:jc w:val="both"/>
        <w:rPr>
          <w:rFonts w:ascii="Arial" w:hAnsi="Arial" w:cs="Arial"/>
          <w:b/>
          <w:sz w:val="21"/>
          <w:szCs w:val="21"/>
        </w:rPr>
      </w:pPr>
    </w:p>
    <w:p w:rsidR="00236E31" w:rsidRPr="009042B2" w:rsidRDefault="00236E31" w:rsidP="00236E31">
      <w:pPr>
        <w:jc w:val="both"/>
        <w:rPr>
          <w:rFonts w:ascii="Arial" w:hAnsi="Arial" w:cs="Arial"/>
          <w:b/>
          <w:sz w:val="21"/>
          <w:szCs w:val="21"/>
        </w:rPr>
      </w:pPr>
      <w:r w:rsidRPr="009042B2">
        <w:rPr>
          <w:rFonts w:ascii="Arial" w:hAnsi="Arial" w:cs="Arial"/>
          <w:b/>
          <w:sz w:val="21"/>
          <w:szCs w:val="21"/>
        </w:rPr>
        <w:t>Respuesta:</w:t>
      </w:r>
    </w:p>
    <w:p w:rsidR="00236E31" w:rsidRPr="009042B2" w:rsidRDefault="00236E31" w:rsidP="00236E31">
      <w:pPr>
        <w:jc w:val="both"/>
        <w:rPr>
          <w:rFonts w:ascii="Arial" w:hAnsi="Arial" w:cs="Arial"/>
          <w:b/>
          <w:sz w:val="21"/>
          <w:szCs w:val="21"/>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Respecto a la circular para adecuar las políticas de originación del Programa de Pequeño Productor, a la fecha no se cuenta con ésta; sin embargo, se han establecido las siguientes mitigantes dentro de la normatividad institucional:</w:t>
      </w:r>
    </w:p>
    <w:p w:rsidR="00236E31" w:rsidRPr="009042B2" w:rsidRDefault="00236E31" w:rsidP="00236E31">
      <w:pPr>
        <w:spacing w:line="276" w:lineRule="auto"/>
        <w:rPr>
          <w:rFonts w:ascii="Arial" w:hAnsi="Arial" w:cs="Arial"/>
          <w:sz w:val="21"/>
          <w:szCs w:val="21"/>
        </w:rPr>
      </w:pPr>
    </w:p>
    <w:p w:rsidR="00236E31" w:rsidRPr="009042B2" w:rsidRDefault="00236E31" w:rsidP="00236E31">
      <w:pPr>
        <w:spacing w:line="276" w:lineRule="auto"/>
        <w:rPr>
          <w:rFonts w:ascii="Arial" w:hAnsi="Arial" w:cs="Arial"/>
          <w:b/>
          <w:sz w:val="21"/>
          <w:szCs w:val="21"/>
        </w:rPr>
      </w:pPr>
      <w:r w:rsidRPr="009042B2">
        <w:rPr>
          <w:rFonts w:ascii="Arial" w:hAnsi="Arial" w:cs="Arial"/>
          <w:b/>
          <w:sz w:val="21"/>
          <w:szCs w:val="21"/>
        </w:rPr>
        <w:t>A</w:t>
      </w:r>
      <w:proofErr w:type="gramStart"/>
      <w:r w:rsidRPr="009042B2">
        <w:rPr>
          <w:rFonts w:ascii="Arial" w:hAnsi="Arial" w:cs="Arial"/>
          <w:b/>
          <w:sz w:val="21"/>
          <w:szCs w:val="21"/>
        </w:rPr>
        <w:t>).-</w:t>
      </w:r>
      <w:proofErr w:type="gramEnd"/>
      <w:r w:rsidRPr="009042B2">
        <w:rPr>
          <w:rFonts w:ascii="Arial" w:hAnsi="Arial" w:cs="Arial"/>
          <w:b/>
          <w:sz w:val="21"/>
          <w:szCs w:val="21"/>
        </w:rPr>
        <w:t xml:space="preserve"> MODIFICACIÓN AL PROGRAMA DE FINANCIAMIENTO PREAUTORIZADO</w:t>
      </w:r>
    </w:p>
    <w:p w:rsidR="00236E31" w:rsidRPr="009042B2" w:rsidRDefault="00236E31" w:rsidP="00236E31">
      <w:pPr>
        <w:spacing w:line="276" w:lineRule="auto"/>
        <w:rPr>
          <w:rFonts w:ascii="Arial" w:hAnsi="Arial" w:cs="Arial"/>
          <w:sz w:val="21"/>
          <w:szCs w:val="21"/>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 xml:space="preserve">Derivado de que el mayor porcentaje de autorizaciones de Pequeño Productor queda en facultades mancomunadas, se realizaron modificaciones al Programa de Financiamiento Preautorizado mediante el cual se autorizan las Líneas de Crédito Paramétricas (LP) o también conocidas como Paquete Tecnológico. </w:t>
      </w: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 xml:space="preserve">Cabe comentar que anteriormente el programa arrojaba como resultados del score: “APROBADO”, “REQUIERE PAQUETE”, “SUBCOMITÉ” y “PROYECTO NO VIABLE”. </w:t>
      </w:r>
    </w:p>
    <w:p w:rsidR="002A2974" w:rsidRPr="009042B2" w:rsidRDefault="002A2974" w:rsidP="00236E31">
      <w:pPr>
        <w:spacing w:line="276" w:lineRule="auto"/>
        <w:jc w:val="both"/>
        <w:rPr>
          <w:rFonts w:ascii="Arial" w:hAnsi="Arial" w:cs="Arial"/>
          <w:sz w:val="21"/>
          <w:szCs w:val="21"/>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 xml:space="preserve">Cuando el resultado era “PROYECTO NO VIABLE”, el Subcomité de Crédito (SCC) tenía facultad de atracción para analizar la solicitud por el método individual y sancionarla como autorizado o no, de manera casuística. </w:t>
      </w: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A partir de septiembre 2018 se hicieron modificaciones a dicho programa, por lo que actualmente sólo existen 2 resultados: “APROBADO” y “NO APROBADO”.</w:t>
      </w:r>
    </w:p>
    <w:p w:rsidR="00236E31" w:rsidRPr="00236E31" w:rsidRDefault="00236E31" w:rsidP="00236E31">
      <w:pPr>
        <w:spacing w:line="276" w:lineRule="auto"/>
        <w:jc w:val="center"/>
        <w:rPr>
          <w:rFonts w:ascii="Arial" w:hAnsi="Arial" w:cs="Arial"/>
          <w:color w:val="7030A0"/>
          <w:sz w:val="20"/>
          <w:szCs w:val="20"/>
        </w:rPr>
      </w:pPr>
      <w:r w:rsidRPr="00236E31">
        <w:rPr>
          <w:rFonts w:ascii="Arial" w:hAnsi="Arial" w:cs="Arial"/>
          <w:noProof/>
          <w:color w:val="7030A0"/>
          <w:sz w:val="20"/>
          <w:szCs w:val="20"/>
          <w:lang w:val="es-MX" w:eastAsia="es-MX"/>
        </w:rPr>
        <w:drawing>
          <wp:inline distT="0" distB="0" distL="0" distR="0" wp14:anchorId="64B12C8E" wp14:editId="7C072C68">
            <wp:extent cx="3106892" cy="815911"/>
            <wp:effectExtent l="0" t="0" r="0" b="3810"/>
            <wp:docPr id="5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2"/>
                    <pic:cNvPicPr>
                      <a:picLocks noChangeAspect="1"/>
                    </pic:cNvPicPr>
                  </pic:nvPicPr>
                  <pic:blipFill>
                    <a:blip r:embed="rId14"/>
                    <a:stretch>
                      <a:fillRect/>
                    </a:stretch>
                  </pic:blipFill>
                  <pic:spPr>
                    <a:xfrm>
                      <a:off x="0" y="0"/>
                      <a:ext cx="3106892" cy="815911"/>
                    </a:xfrm>
                    <a:prstGeom prst="rect">
                      <a:avLst/>
                    </a:prstGeom>
                  </pic:spPr>
                </pic:pic>
              </a:graphicData>
            </a:graphic>
          </wp:inline>
        </w:drawing>
      </w:r>
    </w:p>
    <w:p w:rsidR="00236E31" w:rsidRPr="00236E31" w:rsidRDefault="00236E31" w:rsidP="00236E31">
      <w:pPr>
        <w:spacing w:line="276" w:lineRule="auto"/>
        <w:jc w:val="both"/>
        <w:rPr>
          <w:rFonts w:ascii="Arial" w:hAnsi="Arial" w:cs="Arial"/>
          <w:color w:val="7030A0"/>
          <w:sz w:val="20"/>
          <w:szCs w:val="20"/>
        </w:rPr>
      </w:pPr>
    </w:p>
    <w:p w:rsidR="00236E31" w:rsidRPr="00236E31" w:rsidRDefault="00236E31" w:rsidP="00236E31">
      <w:pPr>
        <w:spacing w:line="276" w:lineRule="auto"/>
        <w:jc w:val="center"/>
        <w:rPr>
          <w:rFonts w:ascii="Arial" w:hAnsi="Arial" w:cs="Arial"/>
          <w:color w:val="7030A0"/>
          <w:sz w:val="20"/>
          <w:szCs w:val="20"/>
        </w:rPr>
      </w:pPr>
      <w:r w:rsidRPr="00236E31">
        <w:rPr>
          <w:rFonts w:ascii="Arial" w:hAnsi="Arial" w:cs="Arial"/>
          <w:noProof/>
          <w:color w:val="7030A0"/>
          <w:sz w:val="20"/>
          <w:szCs w:val="20"/>
          <w:lang w:val="es-MX" w:eastAsia="es-MX"/>
        </w:rPr>
        <w:drawing>
          <wp:inline distT="0" distB="0" distL="0" distR="0" wp14:anchorId="3A3F9668" wp14:editId="3479DABD">
            <wp:extent cx="3572365" cy="848175"/>
            <wp:effectExtent l="0" t="0" r="0" b="9525"/>
            <wp:docPr id="83"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2"/>
                    <pic:cNvPicPr>
                      <a:picLocks noChangeAspect="1"/>
                    </pic:cNvPicPr>
                  </pic:nvPicPr>
                  <pic:blipFill>
                    <a:blip r:embed="rId15"/>
                    <a:stretch>
                      <a:fillRect/>
                    </a:stretch>
                  </pic:blipFill>
                  <pic:spPr>
                    <a:xfrm>
                      <a:off x="0" y="0"/>
                      <a:ext cx="3572365" cy="848175"/>
                    </a:xfrm>
                    <a:prstGeom prst="rect">
                      <a:avLst/>
                    </a:prstGeom>
                  </pic:spPr>
                </pic:pic>
              </a:graphicData>
            </a:graphic>
          </wp:inline>
        </w:drawing>
      </w:r>
    </w:p>
    <w:p w:rsidR="00236E31" w:rsidRPr="009042B2" w:rsidRDefault="00236E31" w:rsidP="00236E31">
      <w:pPr>
        <w:spacing w:line="276" w:lineRule="auto"/>
        <w:jc w:val="both"/>
        <w:rPr>
          <w:rFonts w:ascii="Arial" w:hAnsi="Arial" w:cs="Arial"/>
          <w:color w:val="7030A0"/>
          <w:sz w:val="20"/>
          <w:szCs w:val="20"/>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Para este segmento de clientes, FND procurará que todas las solicitudes de crédito utilicen una Línea Paramétrica (LP).  A partir de ello se realizará una evaluación a través de un modelo de evaluación de riesgo (en adelante “Score”) y cuando el resultado sea “APROBADO”, la Agencia Corporativa de Crédito Rural podrá continuar con la preparación de la Cédula de Validación al amparo de facultades mancomunadas. En caso de que el resultado de evaluación del Score sea “NO APROBADO”, no se le dará continuidad al proceso, por lo que la solicitud es rechazada definitivamente.</w:t>
      </w:r>
    </w:p>
    <w:p w:rsidR="00236E31" w:rsidRPr="009042B2" w:rsidRDefault="00236E31" w:rsidP="00236E31">
      <w:pPr>
        <w:spacing w:line="276" w:lineRule="auto"/>
        <w:jc w:val="both"/>
        <w:rPr>
          <w:rFonts w:ascii="Arial" w:hAnsi="Arial" w:cs="Arial"/>
          <w:sz w:val="20"/>
          <w:szCs w:val="20"/>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 xml:space="preserve">En caso de que la solicitud no cuente con una LP, se hará la evaluación a través del Score. Si el resultado de éste es “APROBADO”, se analizará la viabilidad del proyecto mediante la herramienta de flujos de efectivo o mediante la aplicación de un modelo de evaluación financiera previamente autorizado por el </w:t>
      </w:r>
      <w:r w:rsidRPr="009042B2">
        <w:rPr>
          <w:rFonts w:ascii="Arial" w:hAnsi="Arial" w:cs="Arial"/>
          <w:sz w:val="21"/>
          <w:szCs w:val="21"/>
        </w:rPr>
        <w:lastRenderedPageBreak/>
        <w:t>Comité de Créditos Menores. En caso de que el resultado de evaluación del Score sea “NO APROBADO”, no se le dará continuidad al proceso.</w:t>
      </w:r>
    </w:p>
    <w:p w:rsidR="00236E31" w:rsidRPr="009042B2" w:rsidRDefault="00236E31" w:rsidP="00236E31">
      <w:pPr>
        <w:spacing w:line="276" w:lineRule="auto"/>
        <w:jc w:val="both"/>
        <w:rPr>
          <w:rFonts w:ascii="Arial" w:hAnsi="Arial" w:cs="Arial"/>
          <w:sz w:val="20"/>
          <w:szCs w:val="20"/>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 xml:space="preserve">Lo que se busca con este cambio normativo, es fortalecer la originación a través del uso de paquetes tecnológicos o líneas paramétricas, estableciendo dentro de éstas las mitigantes que se consideren en función de la actividad y destino, entre otras variables. </w:t>
      </w:r>
    </w:p>
    <w:p w:rsidR="00236E31" w:rsidRPr="009042B2" w:rsidRDefault="00236E31" w:rsidP="00236E31">
      <w:pPr>
        <w:spacing w:line="276" w:lineRule="auto"/>
        <w:jc w:val="both"/>
        <w:rPr>
          <w:rFonts w:ascii="Arial" w:hAnsi="Arial" w:cs="Arial"/>
          <w:sz w:val="20"/>
          <w:szCs w:val="20"/>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Se adjunta al presente la autorización de la modificación y el Programa de Financiamiento Pre</w:t>
      </w:r>
      <w:r w:rsidR="00446141" w:rsidRPr="009042B2">
        <w:rPr>
          <w:rFonts w:ascii="Arial" w:hAnsi="Arial" w:cs="Arial"/>
          <w:sz w:val="21"/>
          <w:szCs w:val="21"/>
        </w:rPr>
        <w:t>-</w:t>
      </w:r>
      <w:r w:rsidRPr="009042B2">
        <w:rPr>
          <w:rFonts w:ascii="Arial" w:hAnsi="Arial" w:cs="Arial"/>
          <w:sz w:val="21"/>
          <w:szCs w:val="21"/>
        </w:rPr>
        <w:t xml:space="preserve">Autorizado </w:t>
      </w:r>
      <w:r w:rsidRPr="009042B2">
        <w:rPr>
          <w:rFonts w:ascii="Arial" w:hAnsi="Arial" w:cs="Arial"/>
          <w:b/>
          <w:sz w:val="21"/>
          <w:szCs w:val="21"/>
        </w:rPr>
        <w:t>anexo 4.</w:t>
      </w:r>
    </w:p>
    <w:p w:rsidR="00236E31" w:rsidRPr="009042B2" w:rsidRDefault="00236E31" w:rsidP="00236E31">
      <w:pPr>
        <w:spacing w:line="276" w:lineRule="auto"/>
        <w:jc w:val="both"/>
        <w:rPr>
          <w:rFonts w:ascii="Arial" w:hAnsi="Arial" w:cs="Arial"/>
          <w:sz w:val="20"/>
          <w:szCs w:val="20"/>
        </w:rPr>
      </w:pPr>
    </w:p>
    <w:p w:rsidR="00236E31" w:rsidRPr="009042B2" w:rsidRDefault="00236E31" w:rsidP="00236E31">
      <w:pPr>
        <w:spacing w:line="276" w:lineRule="auto"/>
        <w:jc w:val="both"/>
        <w:rPr>
          <w:rFonts w:ascii="Arial" w:hAnsi="Arial" w:cs="Arial"/>
          <w:b/>
          <w:sz w:val="21"/>
          <w:szCs w:val="21"/>
        </w:rPr>
      </w:pPr>
      <w:r w:rsidRPr="009042B2">
        <w:rPr>
          <w:rFonts w:ascii="Arial" w:hAnsi="Arial" w:cs="Arial"/>
          <w:b/>
          <w:sz w:val="21"/>
          <w:szCs w:val="21"/>
        </w:rPr>
        <w:t>B</w:t>
      </w:r>
      <w:proofErr w:type="gramStart"/>
      <w:r w:rsidRPr="009042B2">
        <w:rPr>
          <w:rFonts w:ascii="Arial" w:hAnsi="Arial" w:cs="Arial"/>
          <w:b/>
          <w:sz w:val="21"/>
          <w:szCs w:val="21"/>
        </w:rPr>
        <w:t>).-</w:t>
      </w:r>
      <w:proofErr w:type="gramEnd"/>
      <w:r w:rsidRPr="009042B2">
        <w:rPr>
          <w:rFonts w:ascii="Arial" w:hAnsi="Arial" w:cs="Arial"/>
          <w:b/>
          <w:sz w:val="21"/>
          <w:szCs w:val="21"/>
        </w:rPr>
        <w:t xml:space="preserve"> MITIGANTES ESTABLECIDAS DENTRO DE LAS LÍNEAS PARAMÉTRICAS </w:t>
      </w:r>
    </w:p>
    <w:p w:rsidR="00236E31" w:rsidRPr="009042B2" w:rsidRDefault="00236E31" w:rsidP="00236E31">
      <w:pPr>
        <w:spacing w:line="276" w:lineRule="auto"/>
        <w:jc w:val="both"/>
        <w:rPr>
          <w:rFonts w:ascii="Arial" w:hAnsi="Arial" w:cs="Arial"/>
          <w:sz w:val="20"/>
          <w:szCs w:val="20"/>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 xml:space="preserve">En función de lo anterior, se realizó un análisis por parte de la Dirección General Adjunta de Crédito (en adelante “DGAC”) con la información histórica de la cartera vencida de Pequeño Productor, determinando que, para la autorización o ajuste de líneas, se considerarán las variables de IMOR, IMORA y PEP. Igualmente, se están estableciendo en las autorizaciones de líneas paramétricas las siguientes mitigantes, según correspondan: </w:t>
      </w:r>
    </w:p>
    <w:p w:rsidR="00236E31" w:rsidRPr="009042B2" w:rsidRDefault="00236E31" w:rsidP="00236E31">
      <w:pPr>
        <w:spacing w:line="276" w:lineRule="auto"/>
        <w:jc w:val="both"/>
        <w:rPr>
          <w:rFonts w:ascii="Arial" w:hAnsi="Arial" w:cs="Arial"/>
          <w:sz w:val="21"/>
          <w:szCs w:val="21"/>
        </w:rPr>
      </w:pPr>
    </w:p>
    <w:p w:rsidR="00236E31" w:rsidRPr="009042B2" w:rsidRDefault="00236E31" w:rsidP="00236E31">
      <w:pPr>
        <w:numPr>
          <w:ilvl w:val="0"/>
          <w:numId w:val="38"/>
        </w:numPr>
        <w:spacing w:after="200" w:line="276" w:lineRule="auto"/>
        <w:contextualSpacing/>
        <w:jc w:val="both"/>
        <w:rPr>
          <w:rFonts w:ascii="Arial" w:hAnsi="Arial" w:cs="Arial"/>
          <w:sz w:val="21"/>
          <w:szCs w:val="21"/>
        </w:rPr>
      </w:pPr>
      <w:r w:rsidRPr="009042B2">
        <w:rPr>
          <w:rFonts w:ascii="Arial" w:hAnsi="Arial" w:cs="Arial"/>
          <w:sz w:val="21"/>
          <w:szCs w:val="21"/>
        </w:rPr>
        <w:t xml:space="preserve">En todas las líneas paramétricas que se han autorizado en este año, se les ha establecido la siguiente condición: </w:t>
      </w: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 xml:space="preserve">“Se instruye a las Agencias de Crédito Rural correspondientes a que todas las operaciones para la actividad de (en función a la actividad), bajo el Programa de Financiamiento para Pequeños Productores o Programa que lo sustituya, sean validadas en sus facultades, solo al amparo de la presente línea paramétrica.” </w:t>
      </w:r>
    </w:p>
    <w:p w:rsidR="00236E31" w:rsidRPr="009042B2" w:rsidRDefault="00236E31" w:rsidP="00236E31">
      <w:pPr>
        <w:spacing w:line="276" w:lineRule="auto"/>
        <w:contextualSpacing/>
        <w:jc w:val="both"/>
        <w:rPr>
          <w:rFonts w:ascii="Arial" w:hAnsi="Arial" w:cs="Arial"/>
          <w:sz w:val="21"/>
          <w:szCs w:val="21"/>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Por lo anterior, como criterio prudencial, esta condición permite que únicamente se pueda operar al amparo de líneas paramétricas, las cuales ya tienen establecidas mitigantes de riesgo acordes a su operación, por lo que ya no existe la opción de operarse sin paquete tecnológico.</w:t>
      </w:r>
    </w:p>
    <w:p w:rsidR="00236E31" w:rsidRPr="009042B2" w:rsidRDefault="00236E31" w:rsidP="00236E31">
      <w:pPr>
        <w:spacing w:line="276" w:lineRule="auto"/>
        <w:jc w:val="both"/>
        <w:rPr>
          <w:rFonts w:ascii="Arial" w:hAnsi="Arial" w:cs="Arial"/>
          <w:sz w:val="21"/>
          <w:szCs w:val="21"/>
        </w:rPr>
      </w:pPr>
    </w:p>
    <w:p w:rsidR="00236E31" w:rsidRPr="009042B2" w:rsidRDefault="00236E31" w:rsidP="00236E31">
      <w:pPr>
        <w:numPr>
          <w:ilvl w:val="0"/>
          <w:numId w:val="38"/>
        </w:numPr>
        <w:spacing w:line="276" w:lineRule="auto"/>
        <w:contextualSpacing/>
        <w:jc w:val="both"/>
        <w:rPr>
          <w:rFonts w:ascii="Arial" w:hAnsi="Arial" w:cs="Arial"/>
          <w:sz w:val="21"/>
          <w:szCs w:val="21"/>
        </w:rPr>
      </w:pPr>
      <w:r w:rsidRPr="009042B2">
        <w:rPr>
          <w:rFonts w:ascii="Arial" w:hAnsi="Arial" w:cs="Arial"/>
          <w:sz w:val="21"/>
          <w:szCs w:val="21"/>
        </w:rPr>
        <w:t>En las líneas paramétricas para el destino “Bovino Vientre”</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 xml:space="preserve">Atender las “Solicitudes” a través de créditos simples en vez de refaccionarios, para solicitar garantías adicionales a los acreditados finales. </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Establecer un mínimo de hato en situación actual, para poder tener acceso a la línea.</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 xml:space="preserve">Que se cuente con un Co-acreditado.  </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Considerar que por cada vientre financiado el “Solicitante” cuente con al menos un vientre en etapa reproductiva.</w:t>
      </w:r>
    </w:p>
    <w:p w:rsidR="00236E31" w:rsidRPr="009042B2" w:rsidRDefault="00236E31" w:rsidP="00236E31">
      <w:pPr>
        <w:spacing w:after="200" w:line="276" w:lineRule="auto"/>
        <w:ind w:left="720"/>
        <w:contextualSpacing/>
        <w:jc w:val="both"/>
        <w:rPr>
          <w:rFonts w:ascii="Arial" w:hAnsi="Arial" w:cs="Arial"/>
          <w:sz w:val="21"/>
          <w:szCs w:val="21"/>
        </w:rPr>
      </w:pPr>
    </w:p>
    <w:p w:rsidR="00236E31" w:rsidRPr="009042B2" w:rsidRDefault="00236E31" w:rsidP="00236E31">
      <w:pPr>
        <w:numPr>
          <w:ilvl w:val="0"/>
          <w:numId w:val="38"/>
        </w:numPr>
        <w:spacing w:line="276" w:lineRule="auto"/>
        <w:contextualSpacing/>
        <w:jc w:val="both"/>
        <w:rPr>
          <w:rFonts w:ascii="Arial" w:hAnsi="Arial" w:cs="Arial"/>
          <w:sz w:val="21"/>
          <w:szCs w:val="21"/>
        </w:rPr>
      </w:pPr>
      <w:r w:rsidRPr="009042B2">
        <w:rPr>
          <w:rFonts w:ascii="Arial" w:hAnsi="Arial" w:cs="Arial"/>
          <w:sz w:val="21"/>
          <w:szCs w:val="21"/>
        </w:rPr>
        <w:t xml:space="preserve">En las “Operaciones” sin Paquete Tecnológico cuyo destino sea “adquisición de maquinaria y equipo” y no sea posible realizar una Línea Paramétrica: </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Considerar en el análisis, no otorgar plazos que sobrepasen la vida útil del bien.</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 xml:space="preserve">Que la fuente de pago provenga de un cultivo que muestre buena recuperación en la institución y </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Estructurar en lo posible los créditos a través de “Simples”.</w:t>
      </w:r>
    </w:p>
    <w:p w:rsidR="00236E31" w:rsidRPr="009042B2" w:rsidRDefault="00236E31" w:rsidP="00236E31">
      <w:pPr>
        <w:spacing w:after="200" w:line="276" w:lineRule="auto"/>
        <w:ind w:left="567"/>
        <w:contextualSpacing/>
        <w:jc w:val="both"/>
        <w:rPr>
          <w:rFonts w:ascii="Arial" w:hAnsi="Arial" w:cs="Arial"/>
          <w:sz w:val="21"/>
          <w:szCs w:val="21"/>
        </w:rPr>
      </w:pPr>
    </w:p>
    <w:p w:rsidR="00236E31" w:rsidRPr="009042B2" w:rsidRDefault="00236E31" w:rsidP="00236E31">
      <w:pPr>
        <w:numPr>
          <w:ilvl w:val="0"/>
          <w:numId w:val="38"/>
        </w:numPr>
        <w:spacing w:line="276" w:lineRule="auto"/>
        <w:contextualSpacing/>
        <w:jc w:val="both"/>
        <w:rPr>
          <w:rFonts w:ascii="Arial" w:hAnsi="Arial" w:cs="Arial"/>
          <w:sz w:val="21"/>
          <w:szCs w:val="21"/>
        </w:rPr>
      </w:pPr>
      <w:r w:rsidRPr="009042B2">
        <w:rPr>
          <w:rFonts w:ascii="Arial" w:hAnsi="Arial" w:cs="Arial"/>
          <w:sz w:val="21"/>
          <w:szCs w:val="21"/>
        </w:rPr>
        <w:lastRenderedPageBreak/>
        <w:t>En el caso de cultivo de granos básicos:</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Verificar si los paquetes tecnológicos, requiere una re - calibración de los elementos técnico -productivos.</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Estructurar créditos con la posibilidad de “Avíos” o “Cuenta Corriente”.</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Que el “Solicitante” siembre una superficie adicional, proporcional a la que están solicitando con el crédito.</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 xml:space="preserve">Que se cuente con un Co-acreditado.  </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Preferentemente operar con productores que siembren en superficie propia.</w:t>
      </w:r>
    </w:p>
    <w:p w:rsidR="00236E31" w:rsidRPr="009042B2" w:rsidRDefault="00236E31" w:rsidP="00236E31">
      <w:pPr>
        <w:numPr>
          <w:ilvl w:val="1"/>
          <w:numId w:val="39"/>
        </w:numPr>
        <w:spacing w:after="200" w:line="276" w:lineRule="auto"/>
        <w:contextualSpacing/>
        <w:jc w:val="both"/>
        <w:rPr>
          <w:rFonts w:ascii="Arial" w:hAnsi="Arial" w:cs="Arial"/>
          <w:sz w:val="21"/>
          <w:szCs w:val="21"/>
        </w:rPr>
      </w:pPr>
      <w:r w:rsidRPr="009042B2">
        <w:rPr>
          <w:rFonts w:ascii="Arial" w:hAnsi="Arial" w:cs="Arial"/>
          <w:sz w:val="21"/>
          <w:szCs w:val="21"/>
        </w:rPr>
        <w:t xml:space="preserve">En caso de tierras en arrendamiento, consultar al arrendador en las Sociedades de Información Crediticia para verificar su moralidad. </w:t>
      </w:r>
    </w:p>
    <w:p w:rsidR="007A2A71" w:rsidRPr="009042B2" w:rsidRDefault="007A2A71" w:rsidP="00236E31">
      <w:pPr>
        <w:spacing w:after="200" w:line="276" w:lineRule="auto"/>
        <w:jc w:val="both"/>
        <w:rPr>
          <w:rFonts w:ascii="Arial" w:hAnsi="Arial" w:cs="Arial"/>
          <w:b/>
          <w:sz w:val="21"/>
          <w:szCs w:val="21"/>
        </w:rPr>
      </w:pPr>
    </w:p>
    <w:p w:rsidR="00236E31" w:rsidRPr="009042B2" w:rsidRDefault="00236E31" w:rsidP="00236E31">
      <w:pPr>
        <w:spacing w:after="200" w:line="276" w:lineRule="auto"/>
        <w:jc w:val="both"/>
        <w:rPr>
          <w:rFonts w:ascii="Arial" w:hAnsi="Arial" w:cs="Arial"/>
          <w:b/>
          <w:sz w:val="21"/>
          <w:szCs w:val="21"/>
        </w:rPr>
      </w:pPr>
      <w:r w:rsidRPr="009042B2">
        <w:rPr>
          <w:rFonts w:ascii="Arial" w:hAnsi="Arial" w:cs="Arial"/>
          <w:b/>
          <w:sz w:val="21"/>
          <w:szCs w:val="21"/>
        </w:rPr>
        <w:t>C). - FACULTADES PARA LIMITAR LA OPERACIÓN</w:t>
      </w:r>
    </w:p>
    <w:p w:rsidR="00236E31" w:rsidRPr="009042B2" w:rsidRDefault="00236E31" w:rsidP="00236E31">
      <w:pPr>
        <w:spacing w:after="200" w:line="276" w:lineRule="auto"/>
        <w:jc w:val="both"/>
        <w:rPr>
          <w:rFonts w:ascii="Arial" w:hAnsi="Arial" w:cs="Arial"/>
          <w:sz w:val="21"/>
          <w:szCs w:val="21"/>
        </w:rPr>
      </w:pPr>
      <w:r w:rsidRPr="009042B2">
        <w:rPr>
          <w:rFonts w:ascii="Arial" w:hAnsi="Arial" w:cs="Arial"/>
          <w:sz w:val="21"/>
          <w:szCs w:val="21"/>
        </w:rPr>
        <w:t>En el ámbito regional, el SCC podrá suspender de manera temporal o definitiva la utilización de determinada LP, debiendo informar las causas de la decisión a la Dirección General Adjunta de Promoción de Negocios y Coordinación Regional (en adelante “DGAPNCR”) y “DGAC”, a través de la Dirección Ejecutiva de Programas y Productos.</w:t>
      </w:r>
    </w:p>
    <w:p w:rsidR="00236E31" w:rsidRDefault="00236E31" w:rsidP="00236E31">
      <w:pPr>
        <w:spacing w:after="200" w:line="276" w:lineRule="auto"/>
        <w:jc w:val="both"/>
        <w:rPr>
          <w:rFonts w:ascii="Arial" w:hAnsi="Arial" w:cs="Arial"/>
          <w:sz w:val="21"/>
          <w:szCs w:val="21"/>
        </w:rPr>
      </w:pPr>
      <w:r w:rsidRPr="009042B2">
        <w:rPr>
          <w:rFonts w:ascii="Arial" w:hAnsi="Arial" w:cs="Arial"/>
          <w:sz w:val="21"/>
          <w:szCs w:val="21"/>
        </w:rPr>
        <w:t>A nivel nacional, la “DGAPNCR” en conjunto con la “DGAC” y/o con la Dirección General Adjunta Jurídica y Fiduciaria (en adelante “DGAJF”), podrán suspender de manera temporal o definitiva la utilización de determinada LP.</w:t>
      </w:r>
    </w:p>
    <w:p w:rsidR="00236E31" w:rsidRPr="009042B2" w:rsidRDefault="00236E31" w:rsidP="00236E31">
      <w:pPr>
        <w:spacing w:after="200" w:line="276" w:lineRule="auto"/>
        <w:jc w:val="both"/>
        <w:rPr>
          <w:rFonts w:ascii="Arial" w:hAnsi="Arial" w:cs="Arial"/>
          <w:sz w:val="21"/>
          <w:szCs w:val="21"/>
        </w:rPr>
      </w:pPr>
      <w:r w:rsidRPr="009042B2">
        <w:rPr>
          <w:rFonts w:ascii="Arial" w:hAnsi="Arial" w:cs="Arial"/>
          <w:sz w:val="21"/>
          <w:szCs w:val="21"/>
        </w:rPr>
        <w:t xml:space="preserve">La “DGAPNCR” en conjunto con la “DGAC” y/o la “DGAJF” podrán instruir a las Coordinaciones Regionales mediante “Circulares” publicadas en la </w:t>
      </w:r>
      <w:r w:rsidR="007A2A71" w:rsidRPr="009042B2">
        <w:rPr>
          <w:rFonts w:ascii="Arial" w:hAnsi="Arial" w:cs="Arial"/>
          <w:sz w:val="21"/>
          <w:szCs w:val="21"/>
        </w:rPr>
        <w:t>Normateca Institucional</w:t>
      </w:r>
      <w:r w:rsidRPr="009042B2">
        <w:rPr>
          <w:rFonts w:ascii="Arial" w:hAnsi="Arial" w:cs="Arial"/>
          <w:sz w:val="21"/>
          <w:szCs w:val="21"/>
        </w:rPr>
        <w:t xml:space="preserve">, para que se lleven las acciones necesarias, cuando se observe que determinada agencia, tipo de crédito, actividad, tipos de cliente, etc., presenten comportamientos atípicos que pongan o pudieran poner en riesgo la recuperación de las “Operaciones”. </w:t>
      </w:r>
    </w:p>
    <w:p w:rsidR="00236E31" w:rsidRPr="009042B2" w:rsidRDefault="00236E31" w:rsidP="00236E31">
      <w:pPr>
        <w:spacing w:after="200" w:line="276" w:lineRule="auto"/>
        <w:jc w:val="both"/>
        <w:rPr>
          <w:rFonts w:ascii="Arial" w:hAnsi="Arial" w:cs="Arial"/>
          <w:b/>
          <w:sz w:val="21"/>
          <w:szCs w:val="21"/>
        </w:rPr>
      </w:pPr>
      <w:r w:rsidRPr="009042B2">
        <w:rPr>
          <w:rFonts w:ascii="Arial" w:hAnsi="Arial" w:cs="Arial"/>
          <w:b/>
          <w:sz w:val="21"/>
          <w:szCs w:val="21"/>
        </w:rPr>
        <w:t xml:space="preserve">D). - POLÍTICAS PARA LA RECUPERACIÓN DE CARTERA </w:t>
      </w: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A partir de julio de 2018 en el Programa de Financiam</w:t>
      </w:r>
      <w:r w:rsidR="007A2A71" w:rsidRPr="009042B2">
        <w:rPr>
          <w:rFonts w:ascii="Arial" w:hAnsi="Arial" w:cs="Arial"/>
          <w:sz w:val="21"/>
          <w:szCs w:val="21"/>
        </w:rPr>
        <w:t xml:space="preserve">iento para Pequeños Productores, </w:t>
      </w:r>
      <w:r w:rsidRPr="009042B2">
        <w:rPr>
          <w:rFonts w:ascii="Arial" w:hAnsi="Arial" w:cs="Arial"/>
          <w:sz w:val="21"/>
          <w:szCs w:val="21"/>
        </w:rPr>
        <w:t xml:space="preserve">se actualizó la política para la recuperación de cartera por la vía judicial, de operaciones hasta por un monto equivalente en moneda nacional a 45,000 UDIS. </w:t>
      </w:r>
    </w:p>
    <w:p w:rsidR="007A2A71" w:rsidRPr="009042B2" w:rsidRDefault="007A2A71" w:rsidP="00236E31">
      <w:pPr>
        <w:spacing w:line="276" w:lineRule="auto"/>
        <w:jc w:val="both"/>
        <w:rPr>
          <w:rFonts w:ascii="Arial" w:hAnsi="Arial" w:cs="Arial"/>
          <w:sz w:val="21"/>
          <w:szCs w:val="21"/>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 xml:space="preserve">Dicha política contempla un análisis trimestral de las Agencias con mayor IMOR e IMORA, para las cuales, todos los créditos que se ubiquen dentro del listado de “Anexo Único: Relación de agencias”, deberán ser turnados a jurídico para su recuperación por la vía judicial, exceptuando la búsqueda de bienes, estado de cuenta certificado e informe para el turno de cartera a cobranza judicial. </w:t>
      </w:r>
    </w:p>
    <w:p w:rsidR="00995F89" w:rsidRPr="009042B2" w:rsidRDefault="00995F89" w:rsidP="00236E31">
      <w:pPr>
        <w:spacing w:line="276" w:lineRule="auto"/>
        <w:jc w:val="both"/>
        <w:rPr>
          <w:rFonts w:ascii="Arial" w:hAnsi="Arial" w:cs="Arial"/>
          <w:sz w:val="21"/>
          <w:szCs w:val="21"/>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t>Con la finalidad de acelerar y flexibilizar la recuperación en caso de propuestas de pago en una sola exhibición y/o a través de convenio judicial, no será necesario tramitar la "consulta de adeudos por honorarios de negocios fiduciarios", "informe de estado de conservación de garantías" ni reportes de valor, además de no ser susceptibles del cobro de comisiones o penas convencionales.</w:t>
      </w:r>
    </w:p>
    <w:p w:rsidR="00236E31" w:rsidRPr="009042B2" w:rsidRDefault="00236E31" w:rsidP="00236E31">
      <w:pPr>
        <w:spacing w:line="276" w:lineRule="auto"/>
        <w:jc w:val="both"/>
        <w:rPr>
          <w:rFonts w:ascii="Arial" w:hAnsi="Arial" w:cs="Arial"/>
          <w:sz w:val="21"/>
          <w:szCs w:val="21"/>
        </w:rPr>
      </w:pPr>
    </w:p>
    <w:p w:rsidR="00236E31" w:rsidRPr="009042B2" w:rsidRDefault="00236E31" w:rsidP="00236E31">
      <w:pPr>
        <w:spacing w:line="276" w:lineRule="auto"/>
        <w:jc w:val="both"/>
        <w:rPr>
          <w:rFonts w:ascii="Arial" w:hAnsi="Arial" w:cs="Arial"/>
          <w:sz w:val="21"/>
          <w:szCs w:val="21"/>
        </w:rPr>
      </w:pPr>
      <w:r w:rsidRPr="009042B2">
        <w:rPr>
          <w:rFonts w:ascii="Arial" w:hAnsi="Arial" w:cs="Arial"/>
          <w:sz w:val="21"/>
          <w:szCs w:val="21"/>
        </w:rPr>
        <w:lastRenderedPageBreak/>
        <w:t xml:space="preserve">Se adjunta al presente la autorización de las modificaciones a las Políticas para la Recuperación de Cartera </w:t>
      </w:r>
      <w:r w:rsidRPr="009042B2">
        <w:rPr>
          <w:rFonts w:ascii="Arial" w:hAnsi="Arial" w:cs="Arial"/>
          <w:b/>
          <w:sz w:val="21"/>
          <w:szCs w:val="21"/>
        </w:rPr>
        <w:t>anexo 5.</w:t>
      </w:r>
    </w:p>
    <w:p w:rsidR="00236E31" w:rsidRPr="009042B2" w:rsidRDefault="00236E31" w:rsidP="00236E31">
      <w:pPr>
        <w:jc w:val="both"/>
        <w:rPr>
          <w:rFonts w:ascii="Arial" w:hAnsi="Arial" w:cs="Arial"/>
          <w:sz w:val="21"/>
          <w:szCs w:val="21"/>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236E31" w:rsidRPr="009042B2" w:rsidTr="00A7447B">
        <w:tc>
          <w:tcPr>
            <w:tcW w:w="2122" w:type="dxa"/>
          </w:tcPr>
          <w:p w:rsidR="00236E31" w:rsidRPr="009042B2" w:rsidRDefault="00236E31" w:rsidP="00236E31">
            <w:pPr>
              <w:jc w:val="both"/>
              <w:rPr>
                <w:rFonts w:ascii="Arial" w:hAnsi="Arial" w:cs="Arial"/>
                <w:b/>
                <w:sz w:val="21"/>
                <w:szCs w:val="21"/>
              </w:rPr>
            </w:pPr>
            <w:r w:rsidRPr="009042B2">
              <w:rPr>
                <w:rFonts w:ascii="Arial" w:hAnsi="Arial" w:cs="Arial"/>
                <w:b/>
                <w:sz w:val="21"/>
                <w:szCs w:val="21"/>
              </w:rPr>
              <w:t>Recomendación 3</w:t>
            </w:r>
          </w:p>
        </w:tc>
        <w:tc>
          <w:tcPr>
            <w:tcW w:w="6706" w:type="dxa"/>
          </w:tcPr>
          <w:p w:rsidR="00236E31" w:rsidRPr="009042B2" w:rsidRDefault="00236E31" w:rsidP="00236E31">
            <w:pPr>
              <w:jc w:val="both"/>
              <w:rPr>
                <w:rFonts w:ascii="Arial" w:hAnsi="Arial" w:cs="Arial"/>
                <w:sz w:val="21"/>
                <w:szCs w:val="21"/>
              </w:rPr>
            </w:pPr>
            <w:r w:rsidRPr="009042B2">
              <w:rPr>
                <w:rFonts w:ascii="Arial" w:hAnsi="Arial" w:cs="Arial"/>
                <w:sz w:val="21"/>
                <w:szCs w:val="21"/>
              </w:rPr>
              <w:t>Comprobación de Inversión sin factura.</w:t>
            </w:r>
          </w:p>
        </w:tc>
      </w:tr>
    </w:tbl>
    <w:p w:rsidR="00236E31" w:rsidRPr="009042B2" w:rsidRDefault="00236E31" w:rsidP="00236E31">
      <w:pPr>
        <w:jc w:val="both"/>
        <w:rPr>
          <w:rFonts w:ascii="Arial" w:hAnsi="Arial" w:cs="Arial"/>
          <w:b/>
          <w:sz w:val="21"/>
          <w:szCs w:val="21"/>
        </w:rPr>
      </w:pPr>
    </w:p>
    <w:p w:rsidR="00236E31" w:rsidRPr="009042B2" w:rsidRDefault="00236E31" w:rsidP="00236E31">
      <w:pPr>
        <w:jc w:val="both"/>
        <w:rPr>
          <w:rFonts w:ascii="Arial" w:hAnsi="Arial" w:cs="Arial"/>
          <w:b/>
          <w:sz w:val="21"/>
          <w:szCs w:val="21"/>
        </w:rPr>
      </w:pPr>
      <w:r w:rsidRPr="009042B2">
        <w:rPr>
          <w:rFonts w:ascii="Arial" w:hAnsi="Arial" w:cs="Arial"/>
          <w:b/>
          <w:sz w:val="21"/>
          <w:szCs w:val="21"/>
        </w:rPr>
        <w:t>Respuesta:</w:t>
      </w:r>
    </w:p>
    <w:p w:rsidR="00236E31" w:rsidRPr="009042B2" w:rsidRDefault="00236E31" w:rsidP="00236E31">
      <w:pPr>
        <w:jc w:val="both"/>
        <w:rPr>
          <w:rFonts w:ascii="Arial" w:hAnsi="Arial" w:cs="Arial"/>
          <w:sz w:val="21"/>
          <w:szCs w:val="21"/>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El Manual de Normas y Políticas de Crédito de la FND establece los documentos válidos para la comprobación, lo cual aplica para todos los créditos, independientemente de lo que establezcan los programas de financiamiento. Dichos documentos son:</w:t>
      </w:r>
    </w:p>
    <w:p w:rsidR="00236E31" w:rsidRPr="009042B2" w:rsidRDefault="00236E31" w:rsidP="00236E31">
      <w:pPr>
        <w:jc w:val="both"/>
        <w:rPr>
          <w:rFonts w:ascii="Arial" w:hAnsi="Arial" w:cs="Arial"/>
          <w:sz w:val="21"/>
          <w:szCs w:val="21"/>
        </w:rPr>
      </w:pPr>
    </w:p>
    <w:p w:rsidR="00236E31" w:rsidRPr="009042B2" w:rsidRDefault="00236E31" w:rsidP="00236E31">
      <w:pPr>
        <w:numPr>
          <w:ilvl w:val="0"/>
          <w:numId w:val="41"/>
        </w:numPr>
        <w:spacing w:after="40"/>
        <w:ind w:right="51"/>
        <w:contextualSpacing/>
        <w:jc w:val="both"/>
        <w:rPr>
          <w:rFonts w:ascii="Arial" w:hAnsi="Arial" w:cs="Arial"/>
          <w:sz w:val="21"/>
          <w:szCs w:val="21"/>
        </w:rPr>
      </w:pPr>
      <w:r w:rsidRPr="009042B2">
        <w:rPr>
          <w:rFonts w:ascii="Arial" w:hAnsi="Arial" w:cs="Arial"/>
          <w:sz w:val="21"/>
          <w:szCs w:val="21"/>
        </w:rPr>
        <w:t>Pólizas de seguro con el comprobante de su pago</w:t>
      </w:r>
      <w:r w:rsidR="00AB4E37" w:rsidRPr="009042B2">
        <w:rPr>
          <w:rFonts w:ascii="Arial" w:hAnsi="Arial" w:cs="Arial"/>
          <w:sz w:val="21"/>
          <w:szCs w:val="21"/>
        </w:rPr>
        <w:t>.</w:t>
      </w:r>
    </w:p>
    <w:p w:rsidR="00236E31" w:rsidRPr="009042B2" w:rsidRDefault="00236E31" w:rsidP="00236E31">
      <w:pPr>
        <w:numPr>
          <w:ilvl w:val="0"/>
          <w:numId w:val="40"/>
        </w:numPr>
        <w:contextualSpacing/>
        <w:jc w:val="both"/>
        <w:rPr>
          <w:rFonts w:ascii="Arial" w:hAnsi="Arial" w:cs="Arial"/>
          <w:sz w:val="21"/>
          <w:szCs w:val="21"/>
        </w:rPr>
      </w:pPr>
      <w:r w:rsidRPr="009042B2">
        <w:rPr>
          <w:rFonts w:ascii="Arial" w:hAnsi="Arial" w:cs="Arial"/>
          <w:sz w:val="21"/>
          <w:szCs w:val="21"/>
        </w:rPr>
        <w:t>Constancias de aseguramiento con el comprobante de su pago</w:t>
      </w:r>
      <w:r w:rsidR="00AB4E37" w:rsidRPr="009042B2">
        <w:rPr>
          <w:rFonts w:ascii="Arial" w:hAnsi="Arial" w:cs="Arial"/>
          <w:sz w:val="21"/>
          <w:szCs w:val="21"/>
        </w:rPr>
        <w:t>.</w:t>
      </w:r>
    </w:p>
    <w:p w:rsidR="00236E31" w:rsidRPr="009042B2" w:rsidRDefault="00236E31" w:rsidP="00236E31">
      <w:pPr>
        <w:numPr>
          <w:ilvl w:val="0"/>
          <w:numId w:val="40"/>
        </w:numPr>
        <w:contextualSpacing/>
        <w:jc w:val="both"/>
        <w:rPr>
          <w:rFonts w:ascii="Arial" w:hAnsi="Arial" w:cs="Arial"/>
          <w:sz w:val="21"/>
          <w:szCs w:val="21"/>
        </w:rPr>
      </w:pPr>
      <w:r w:rsidRPr="009042B2">
        <w:rPr>
          <w:rFonts w:ascii="Arial" w:hAnsi="Arial" w:cs="Arial"/>
          <w:sz w:val="21"/>
          <w:szCs w:val="21"/>
        </w:rPr>
        <w:t>Recibos que amparen la compra de bienes o el pago de servicios.</w:t>
      </w:r>
    </w:p>
    <w:p w:rsidR="00236E31" w:rsidRPr="009042B2" w:rsidRDefault="00236E31" w:rsidP="00236E31">
      <w:pPr>
        <w:numPr>
          <w:ilvl w:val="0"/>
          <w:numId w:val="40"/>
        </w:numPr>
        <w:contextualSpacing/>
        <w:jc w:val="both"/>
        <w:rPr>
          <w:rFonts w:ascii="Arial" w:hAnsi="Arial" w:cs="Arial"/>
          <w:sz w:val="21"/>
          <w:szCs w:val="21"/>
        </w:rPr>
      </w:pPr>
      <w:r w:rsidRPr="009042B2">
        <w:rPr>
          <w:rFonts w:ascii="Arial" w:hAnsi="Arial" w:cs="Arial"/>
          <w:sz w:val="21"/>
          <w:szCs w:val="21"/>
        </w:rPr>
        <w:t>Facturas que amparen la compra de bienes o el pago de servicios.</w:t>
      </w:r>
    </w:p>
    <w:p w:rsidR="00236E31" w:rsidRPr="009042B2" w:rsidRDefault="00236E31" w:rsidP="00236E31">
      <w:pPr>
        <w:numPr>
          <w:ilvl w:val="0"/>
          <w:numId w:val="40"/>
        </w:numPr>
        <w:spacing w:after="40"/>
        <w:ind w:right="51"/>
        <w:contextualSpacing/>
        <w:jc w:val="both"/>
        <w:rPr>
          <w:rFonts w:ascii="Arial" w:hAnsi="Arial" w:cs="Arial"/>
          <w:sz w:val="21"/>
          <w:szCs w:val="21"/>
        </w:rPr>
      </w:pPr>
      <w:r w:rsidRPr="009042B2">
        <w:rPr>
          <w:rFonts w:ascii="Arial" w:hAnsi="Arial" w:cs="Arial"/>
          <w:sz w:val="21"/>
          <w:szCs w:val="21"/>
        </w:rPr>
        <w:t>Permisos de siembra.</w:t>
      </w:r>
    </w:p>
    <w:p w:rsidR="00236E31" w:rsidRPr="009042B2" w:rsidRDefault="00236E31" w:rsidP="00236E31">
      <w:pPr>
        <w:numPr>
          <w:ilvl w:val="0"/>
          <w:numId w:val="40"/>
        </w:numPr>
        <w:contextualSpacing/>
        <w:jc w:val="both"/>
        <w:rPr>
          <w:rFonts w:ascii="Arial" w:hAnsi="Arial" w:cs="Arial"/>
          <w:sz w:val="21"/>
          <w:szCs w:val="21"/>
        </w:rPr>
      </w:pPr>
      <w:r w:rsidRPr="009042B2">
        <w:rPr>
          <w:rFonts w:ascii="Arial" w:hAnsi="Arial" w:cs="Arial"/>
          <w:sz w:val="21"/>
          <w:szCs w:val="21"/>
        </w:rPr>
        <w:t>Pago de nómina.</w:t>
      </w:r>
    </w:p>
    <w:p w:rsidR="00236E31" w:rsidRPr="009042B2" w:rsidRDefault="00236E31" w:rsidP="00236E31">
      <w:pPr>
        <w:numPr>
          <w:ilvl w:val="0"/>
          <w:numId w:val="40"/>
        </w:numPr>
        <w:contextualSpacing/>
        <w:jc w:val="both"/>
        <w:rPr>
          <w:rFonts w:ascii="Arial" w:hAnsi="Arial" w:cs="Arial"/>
          <w:sz w:val="21"/>
          <w:szCs w:val="21"/>
        </w:rPr>
      </w:pPr>
      <w:r w:rsidRPr="009042B2">
        <w:rPr>
          <w:rFonts w:ascii="Arial" w:hAnsi="Arial" w:cs="Arial"/>
          <w:sz w:val="21"/>
          <w:szCs w:val="21"/>
        </w:rPr>
        <w:t>Pagos de agua.</w:t>
      </w:r>
    </w:p>
    <w:p w:rsidR="00236E31" w:rsidRPr="009042B2" w:rsidRDefault="00236E31" w:rsidP="00236E31">
      <w:pPr>
        <w:numPr>
          <w:ilvl w:val="0"/>
          <w:numId w:val="40"/>
        </w:numPr>
        <w:contextualSpacing/>
        <w:jc w:val="both"/>
        <w:rPr>
          <w:rFonts w:ascii="Arial" w:hAnsi="Arial" w:cs="Arial"/>
          <w:sz w:val="21"/>
          <w:szCs w:val="21"/>
        </w:rPr>
      </w:pPr>
      <w:r w:rsidRPr="009042B2">
        <w:rPr>
          <w:rFonts w:ascii="Arial" w:hAnsi="Arial" w:cs="Arial"/>
          <w:sz w:val="21"/>
          <w:szCs w:val="21"/>
        </w:rPr>
        <w:t>Guías sanitarias de traslado.</w:t>
      </w:r>
    </w:p>
    <w:p w:rsidR="00236E31" w:rsidRPr="009042B2" w:rsidRDefault="00236E31" w:rsidP="00236E31">
      <w:pPr>
        <w:numPr>
          <w:ilvl w:val="0"/>
          <w:numId w:val="40"/>
        </w:numPr>
        <w:contextualSpacing/>
        <w:jc w:val="both"/>
        <w:rPr>
          <w:rFonts w:ascii="Arial" w:hAnsi="Arial" w:cs="Arial"/>
          <w:sz w:val="21"/>
          <w:szCs w:val="21"/>
        </w:rPr>
      </w:pPr>
      <w:r w:rsidRPr="009042B2">
        <w:rPr>
          <w:rFonts w:ascii="Arial" w:hAnsi="Arial" w:cs="Arial"/>
          <w:sz w:val="21"/>
          <w:szCs w:val="21"/>
        </w:rPr>
        <w:t>Registros contables de entradas y salidas de recursos.</w:t>
      </w:r>
    </w:p>
    <w:p w:rsidR="00236E31" w:rsidRPr="009042B2" w:rsidRDefault="00236E31" w:rsidP="00236E31">
      <w:pPr>
        <w:numPr>
          <w:ilvl w:val="0"/>
          <w:numId w:val="40"/>
        </w:numPr>
        <w:contextualSpacing/>
        <w:jc w:val="both"/>
        <w:rPr>
          <w:rFonts w:ascii="Arial" w:hAnsi="Arial" w:cs="Arial"/>
          <w:sz w:val="21"/>
          <w:szCs w:val="21"/>
        </w:rPr>
      </w:pPr>
      <w:r w:rsidRPr="009042B2">
        <w:rPr>
          <w:rFonts w:ascii="Arial" w:hAnsi="Arial" w:cs="Arial"/>
          <w:sz w:val="21"/>
          <w:szCs w:val="21"/>
        </w:rPr>
        <w:t>En caso de que no se cuente con esta “Evidencia Documental” suficiente para comprobar el 100 % (cien por ciento) de los conceptos de inversión, se deberá realizar una supervisión de campo utilizando el Reporte de Supervisión de Campo (RG-CRE-SYR-008-002).</w:t>
      </w:r>
    </w:p>
    <w:p w:rsidR="00236E31" w:rsidRPr="009042B2" w:rsidRDefault="00236E31" w:rsidP="00236E31">
      <w:pPr>
        <w:jc w:val="both"/>
        <w:rPr>
          <w:rFonts w:ascii="Arial" w:hAnsi="Arial" w:cs="Arial"/>
          <w:b/>
          <w:sz w:val="21"/>
          <w:szCs w:val="21"/>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Respecto a los casos señalad</w:t>
      </w:r>
      <w:r w:rsidR="00AB4E37" w:rsidRPr="009042B2">
        <w:rPr>
          <w:rFonts w:ascii="Arial" w:hAnsi="Arial" w:cs="Arial"/>
          <w:sz w:val="21"/>
          <w:szCs w:val="21"/>
        </w:rPr>
        <w:t>os</w:t>
      </w:r>
      <w:r w:rsidRPr="009042B2">
        <w:rPr>
          <w:rFonts w:ascii="Arial" w:hAnsi="Arial" w:cs="Arial"/>
          <w:sz w:val="21"/>
          <w:szCs w:val="21"/>
        </w:rPr>
        <w:t xml:space="preserve"> de “Ganado Vientres” y “Ganado Engorda” la FND tiene establecido de acuerdo a sus lineamientos que solo se puede realizar la comprobación con: Guías sanitarias, Facturas y/o Recibos que amparen la compra del bien, se excluyen para estos destinos los documentos de pólizas de seguro y/o la constancia de aseguramiento, lo anterior con el objetivo de acreditar la compra del bien y evitar la simulación de la misma.</w:t>
      </w:r>
    </w:p>
    <w:p w:rsidR="00236E31" w:rsidRPr="009042B2" w:rsidRDefault="00236E31" w:rsidP="00236E31">
      <w:pPr>
        <w:jc w:val="both"/>
        <w:rPr>
          <w:rFonts w:ascii="Arial" w:hAnsi="Arial" w:cs="Arial"/>
          <w:b/>
          <w:sz w:val="21"/>
          <w:szCs w:val="21"/>
        </w:rPr>
      </w:pPr>
    </w:p>
    <w:p w:rsidR="00236E31" w:rsidRPr="009042B2" w:rsidRDefault="00236E31" w:rsidP="00236E31">
      <w:pPr>
        <w:jc w:val="both"/>
        <w:rPr>
          <w:rFonts w:ascii="Arial" w:hAnsi="Arial" w:cs="Arial"/>
          <w:b/>
          <w:sz w:val="21"/>
          <w:szCs w:val="21"/>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236E31" w:rsidRPr="009042B2" w:rsidTr="001B1636">
        <w:tc>
          <w:tcPr>
            <w:tcW w:w="2122" w:type="dxa"/>
          </w:tcPr>
          <w:p w:rsidR="00236E31" w:rsidRPr="009042B2" w:rsidRDefault="00236E31" w:rsidP="001B1636">
            <w:pPr>
              <w:ind w:firstLine="38"/>
              <w:jc w:val="both"/>
              <w:rPr>
                <w:rFonts w:ascii="Arial" w:hAnsi="Arial" w:cs="Arial"/>
                <w:b/>
                <w:sz w:val="21"/>
                <w:szCs w:val="21"/>
              </w:rPr>
            </w:pPr>
            <w:r w:rsidRPr="009042B2">
              <w:rPr>
                <w:rFonts w:ascii="Arial" w:hAnsi="Arial" w:cs="Arial"/>
                <w:b/>
                <w:sz w:val="21"/>
                <w:szCs w:val="21"/>
              </w:rPr>
              <w:t>Recomendación 4</w:t>
            </w:r>
          </w:p>
        </w:tc>
        <w:tc>
          <w:tcPr>
            <w:tcW w:w="6706" w:type="dxa"/>
          </w:tcPr>
          <w:p w:rsidR="00236E31" w:rsidRPr="009042B2" w:rsidRDefault="00236E31" w:rsidP="00236E31">
            <w:pPr>
              <w:jc w:val="both"/>
              <w:rPr>
                <w:rFonts w:ascii="Arial" w:hAnsi="Arial" w:cs="Arial"/>
                <w:sz w:val="21"/>
                <w:szCs w:val="21"/>
              </w:rPr>
            </w:pPr>
            <w:r w:rsidRPr="009042B2">
              <w:rPr>
                <w:rFonts w:ascii="Arial" w:hAnsi="Arial" w:cs="Arial"/>
                <w:sz w:val="21"/>
                <w:szCs w:val="21"/>
              </w:rPr>
              <w:t>Muestra estadística de supervisión de acompañamiento no representativa para el “Programa de PP”.</w:t>
            </w:r>
          </w:p>
        </w:tc>
      </w:tr>
    </w:tbl>
    <w:p w:rsidR="00236E31" w:rsidRPr="009042B2" w:rsidRDefault="00236E31" w:rsidP="00236E31">
      <w:pPr>
        <w:jc w:val="both"/>
        <w:rPr>
          <w:rFonts w:ascii="Arial" w:hAnsi="Arial" w:cs="Arial"/>
          <w:sz w:val="21"/>
          <w:szCs w:val="21"/>
        </w:rPr>
      </w:pPr>
    </w:p>
    <w:p w:rsidR="00236E31" w:rsidRPr="009042B2" w:rsidRDefault="00236E31" w:rsidP="00236E31">
      <w:pPr>
        <w:jc w:val="both"/>
        <w:rPr>
          <w:rFonts w:ascii="Arial" w:hAnsi="Arial" w:cs="Arial"/>
          <w:b/>
          <w:sz w:val="21"/>
          <w:szCs w:val="21"/>
        </w:rPr>
      </w:pPr>
      <w:r w:rsidRPr="009042B2">
        <w:rPr>
          <w:rFonts w:ascii="Arial" w:hAnsi="Arial" w:cs="Arial"/>
          <w:b/>
          <w:sz w:val="21"/>
          <w:szCs w:val="21"/>
        </w:rPr>
        <w:t>Respuesta:</w:t>
      </w:r>
    </w:p>
    <w:p w:rsidR="00236E31" w:rsidRPr="009042B2" w:rsidRDefault="00236E31" w:rsidP="00236E31">
      <w:pPr>
        <w:jc w:val="both"/>
        <w:rPr>
          <w:rFonts w:ascii="Arial" w:hAnsi="Arial" w:cs="Arial"/>
          <w:b/>
          <w:sz w:val="21"/>
          <w:szCs w:val="21"/>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 xml:space="preserve">La Financiera realizó un análisis del programa de supervisión del “Grupo 2” donde encontró que la población de pequeño productor presenta un </w:t>
      </w:r>
      <w:r w:rsidRPr="009042B2">
        <w:rPr>
          <w:rFonts w:ascii="Arial" w:hAnsi="Arial" w:cs="Arial"/>
          <w:b/>
          <w:sz w:val="21"/>
          <w:szCs w:val="21"/>
        </w:rPr>
        <w:t>38%</w:t>
      </w:r>
      <w:r w:rsidRPr="009042B2">
        <w:rPr>
          <w:rFonts w:ascii="Arial" w:hAnsi="Arial" w:cs="Arial"/>
          <w:sz w:val="21"/>
          <w:szCs w:val="21"/>
        </w:rPr>
        <w:t xml:space="preserve"> a nivel nacional, como se muestra a continuación:</w:t>
      </w:r>
    </w:p>
    <w:p w:rsidR="00236E31" w:rsidRPr="009042B2" w:rsidRDefault="00236E31" w:rsidP="00236E31">
      <w:pPr>
        <w:jc w:val="both"/>
        <w:rPr>
          <w:rFonts w:ascii="Arial" w:hAnsi="Arial" w:cs="Arial"/>
          <w:sz w:val="21"/>
          <w:szCs w:val="21"/>
        </w:rPr>
      </w:pPr>
    </w:p>
    <w:p w:rsidR="00236E31" w:rsidRPr="009042B2" w:rsidRDefault="00236E31" w:rsidP="00236E31">
      <w:pPr>
        <w:jc w:val="both"/>
        <w:rPr>
          <w:rFonts w:ascii="Arial" w:hAnsi="Arial" w:cs="Arial"/>
          <w:sz w:val="21"/>
          <w:szCs w:val="21"/>
        </w:rPr>
      </w:pPr>
    </w:p>
    <w:p w:rsidR="00236E31" w:rsidRPr="00236E31" w:rsidRDefault="00236E31" w:rsidP="00236E31">
      <w:pPr>
        <w:jc w:val="center"/>
        <w:rPr>
          <w:rFonts w:ascii="Arial" w:hAnsi="Arial" w:cs="Arial"/>
          <w:sz w:val="20"/>
          <w:szCs w:val="20"/>
        </w:rPr>
      </w:pPr>
      <w:r w:rsidRPr="00236E31">
        <w:rPr>
          <w:rFonts w:ascii="Arial" w:hAnsi="Arial" w:cs="Arial"/>
          <w:noProof/>
          <w:sz w:val="20"/>
          <w:szCs w:val="20"/>
          <w:lang w:val="es-MX" w:eastAsia="es-MX"/>
        </w:rPr>
        <w:drawing>
          <wp:inline distT="0" distB="0" distL="0" distR="0" wp14:anchorId="41C95F06" wp14:editId="654F4544">
            <wp:extent cx="3803104" cy="1501254"/>
            <wp:effectExtent l="0" t="0" r="698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0461" cy="1508106"/>
                    </a:xfrm>
                    <a:prstGeom prst="rect">
                      <a:avLst/>
                    </a:prstGeom>
                    <a:noFill/>
                    <a:ln>
                      <a:noFill/>
                    </a:ln>
                  </pic:spPr>
                </pic:pic>
              </a:graphicData>
            </a:graphic>
          </wp:inline>
        </w:drawing>
      </w:r>
    </w:p>
    <w:p w:rsidR="00236E31" w:rsidRPr="00236E31" w:rsidRDefault="00236E31" w:rsidP="00236E31">
      <w:pPr>
        <w:jc w:val="center"/>
        <w:rPr>
          <w:rFonts w:ascii="Arial" w:hAnsi="Arial" w:cs="Arial"/>
          <w:sz w:val="20"/>
          <w:szCs w:val="20"/>
        </w:rPr>
      </w:pPr>
    </w:p>
    <w:p w:rsidR="00236E31" w:rsidRPr="00236E31" w:rsidRDefault="00236E31" w:rsidP="00236E31">
      <w:pPr>
        <w:jc w:val="both"/>
        <w:rPr>
          <w:rFonts w:ascii="Arial" w:hAnsi="Arial" w:cs="Arial"/>
          <w:sz w:val="20"/>
          <w:szCs w:val="20"/>
        </w:rPr>
      </w:pPr>
    </w:p>
    <w:p w:rsidR="00236E31" w:rsidRPr="00236E31" w:rsidRDefault="00236E31" w:rsidP="00236E31">
      <w:pPr>
        <w:jc w:val="center"/>
        <w:rPr>
          <w:rFonts w:ascii="Arial" w:hAnsi="Arial" w:cs="Arial"/>
          <w:sz w:val="20"/>
          <w:szCs w:val="20"/>
        </w:rPr>
      </w:pPr>
      <w:r w:rsidRPr="00236E31">
        <w:rPr>
          <w:rFonts w:ascii="Arial" w:hAnsi="Arial" w:cs="Arial"/>
          <w:noProof/>
          <w:sz w:val="20"/>
          <w:szCs w:val="20"/>
          <w:lang w:val="es-MX" w:eastAsia="es-MX"/>
        </w:rPr>
        <w:drawing>
          <wp:inline distT="0" distB="0" distL="0" distR="0" wp14:anchorId="2D21249C" wp14:editId="6B864584">
            <wp:extent cx="3767425" cy="1549021"/>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7909" cy="1557443"/>
                    </a:xfrm>
                    <a:prstGeom prst="rect">
                      <a:avLst/>
                    </a:prstGeom>
                    <a:noFill/>
                    <a:ln>
                      <a:noFill/>
                    </a:ln>
                  </pic:spPr>
                </pic:pic>
              </a:graphicData>
            </a:graphic>
          </wp:inline>
        </w:drawing>
      </w:r>
    </w:p>
    <w:p w:rsidR="00236E31" w:rsidRPr="00236E31" w:rsidRDefault="00236E31" w:rsidP="00236E31">
      <w:pPr>
        <w:jc w:val="both"/>
        <w:rPr>
          <w:rFonts w:ascii="Arial" w:hAnsi="Arial" w:cs="Arial"/>
          <w:sz w:val="20"/>
          <w:szCs w:val="20"/>
        </w:rPr>
      </w:pPr>
    </w:p>
    <w:p w:rsidR="00236E31" w:rsidRPr="00236E31" w:rsidRDefault="00236E31" w:rsidP="00236E31">
      <w:pPr>
        <w:jc w:val="both"/>
        <w:rPr>
          <w:rFonts w:ascii="Arial" w:hAnsi="Arial" w:cs="Arial"/>
          <w:sz w:val="20"/>
          <w:szCs w:val="20"/>
        </w:rPr>
      </w:pPr>
    </w:p>
    <w:p w:rsidR="00236E31" w:rsidRPr="009042B2" w:rsidRDefault="00236E31" w:rsidP="00236E31">
      <w:pPr>
        <w:jc w:val="both"/>
        <w:rPr>
          <w:rFonts w:ascii="Arial" w:hAnsi="Arial" w:cs="Arial"/>
          <w:sz w:val="21"/>
          <w:szCs w:val="21"/>
        </w:rPr>
      </w:pPr>
      <w:r w:rsidRPr="009042B2">
        <w:rPr>
          <w:rFonts w:ascii="Arial" w:hAnsi="Arial" w:cs="Arial"/>
          <w:sz w:val="21"/>
          <w:szCs w:val="21"/>
        </w:rPr>
        <w:t>Derivado de la anterior se determinó que la muestra estadística de supervisión del “Grupo 2” sí es representativa para el Programa de Pequeño Productor y no se requiere adecuar la metodología para la generación de la muestra estadística del “Grupo 2”.</w:t>
      </w:r>
    </w:p>
    <w:p w:rsidR="00236E31" w:rsidRPr="009042B2" w:rsidRDefault="00236E31" w:rsidP="00DC406B">
      <w:pPr>
        <w:tabs>
          <w:tab w:val="left" w:pos="9356"/>
        </w:tabs>
        <w:autoSpaceDE w:val="0"/>
        <w:autoSpaceDN w:val="0"/>
        <w:adjustRightInd w:val="0"/>
        <w:spacing w:line="276" w:lineRule="auto"/>
        <w:jc w:val="both"/>
        <w:rPr>
          <w:rFonts w:ascii="Arial" w:hAnsi="Arial" w:cs="Arial"/>
          <w:sz w:val="21"/>
          <w:szCs w:val="21"/>
        </w:rPr>
      </w:pPr>
    </w:p>
    <w:p w:rsidR="002A2974" w:rsidRDefault="002A2974" w:rsidP="00DC406B">
      <w:pPr>
        <w:tabs>
          <w:tab w:val="left" w:pos="9356"/>
        </w:tabs>
        <w:autoSpaceDE w:val="0"/>
        <w:autoSpaceDN w:val="0"/>
        <w:adjustRightInd w:val="0"/>
        <w:spacing w:line="276" w:lineRule="auto"/>
        <w:jc w:val="both"/>
        <w:rPr>
          <w:rFonts w:ascii="Arial" w:hAnsi="Arial" w:cs="Arial"/>
          <w:sz w:val="21"/>
          <w:szCs w:val="21"/>
        </w:rPr>
      </w:pPr>
    </w:p>
    <w:p w:rsidR="009042B2" w:rsidRPr="009042B2" w:rsidRDefault="009042B2" w:rsidP="00DC406B">
      <w:pPr>
        <w:tabs>
          <w:tab w:val="left" w:pos="9356"/>
        </w:tabs>
        <w:autoSpaceDE w:val="0"/>
        <w:autoSpaceDN w:val="0"/>
        <w:adjustRightInd w:val="0"/>
        <w:spacing w:line="276" w:lineRule="auto"/>
        <w:jc w:val="both"/>
        <w:rPr>
          <w:rFonts w:ascii="Arial" w:hAnsi="Arial" w:cs="Arial"/>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2A2974" w:rsidRPr="009042B2" w:rsidTr="00B370DE">
        <w:tc>
          <w:tcPr>
            <w:tcW w:w="2122" w:type="dxa"/>
          </w:tcPr>
          <w:p w:rsidR="002A2974" w:rsidRPr="009042B2" w:rsidRDefault="002A2974" w:rsidP="001B1636">
            <w:pPr>
              <w:ind w:hanging="105"/>
              <w:jc w:val="both"/>
              <w:rPr>
                <w:rFonts w:ascii="Arial" w:hAnsi="Arial" w:cs="Arial"/>
                <w:b/>
                <w:sz w:val="21"/>
                <w:szCs w:val="21"/>
              </w:rPr>
            </w:pPr>
            <w:r w:rsidRPr="009042B2">
              <w:rPr>
                <w:rFonts w:ascii="Arial" w:hAnsi="Arial" w:cs="Arial"/>
                <w:b/>
                <w:sz w:val="21"/>
                <w:szCs w:val="21"/>
              </w:rPr>
              <w:t>Recomendación 5</w:t>
            </w:r>
          </w:p>
        </w:tc>
        <w:tc>
          <w:tcPr>
            <w:tcW w:w="6706" w:type="dxa"/>
          </w:tcPr>
          <w:p w:rsidR="002A2974" w:rsidRPr="009042B2" w:rsidRDefault="002A2974" w:rsidP="002A2974">
            <w:pPr>
              <w:jc w:val="both"/>
              <w:rPr>
                <w:rFonts w:ascii="Arial" w:hAnsi="Arial" w:cs="Arial"/>
                <w:sz w:val="21"/>
                <w:szCs w:val="21"/>
              </w:rPr>
            </w:pPr>
            <w:r w:rsidRPr="009042B2">
              <w:rPr>
                <w:rFonts w:ascii="Arial" w:hAnsi="Arial" w:cs="Arial"/>
                <w:sz w:val="21"/>
                <w:szCs w:val="21"/>
              </w:rPr>
              <w:t>Estructura organizacional de las Agencias de Crédito Rural Insuficiente.</w:t>
            </w:r>
          </w:p>
        </w:tc>
      </w:tr>
    </w:tbl>
    <w:p w:rsidR="002A2974" w:rsidRPr="009042B2" w:rsidRDefault="002A2974" w:rsidP="00DC406B">
      <w:pPr>
        <w:tabs>
          <w:tab w:val="left" w:pos="9356"/>
        </w:tabs>
        <w:autoSpaceDE w:val="0"/>
        <w:autoSpaceDN w:val="0"/>
        <w:adjustRightInd w:val="0"/>
        <w:spacing w:line="276" w:lineRule="auto"/>
        <w:jc w:val="both"/>
        <w:rPr>
          <w:rFonts w:ascii="Arial" w:hAnsi="Arial" w:cs="Arial"/>
          <w:sz w:val="21"/>
          <w:szCs w:val="21"/>
        </w:rPr>
      </w:pPr>
    </w:p>
    <w:p w:rsidR="002A2974" w:rsidRPr="009042B2" w:rsidRDefault="002A2974" w:rsidP="002A2974">
      <w:pPr>
        <w:jc w:val="both"/>
        <w:rPr>
          <w:rFonts w:ascii="Arial" w:hAnsi="Arial" w:cs="Arial"/>
          <w:b/>
          <w:sz w:val="21"/>
          <w:szCs w:val="21"/>
        </w:rPr>
      </w:pPr>
      <w:r w:rsidRPr="009042B2">
        <w:rPr>
          <w:rFonts w:ascii="Arial" w:hAnsi="Arial" w:cs="Arial"/>
          <w:b/>
          <w:sz w:val="21"/>
          <w:szCs w:val="21"/>
        </w:rPr>
        <w:t>Respuesta:</w:t>
      </w:r>
    </w:p>
    <w:p w:rsidR="002A2974" w:rsidRPr="009042B2" w:rsidRDefault="002A2974" w:rsidP="002A2974">
      <w:pPr>
        <w:jc w:val="both"/>
        <w:rPr>
          <w:rFonts w:ascii="Arial" w:hAnsi="Arial" w:cs="Arial"/>
          <w:b/>
          <w:sz w:val="21"/>
          <w:szCs w:val="21"/>
        </w:rPr>
      </w:pPr>
    </w:p>
    <w:p w:rsidR="002A2974" w:rsidRPr="009042B2" w:rsidRDefault="002A2974" w:rsidP="002A2974">
      <w:pPr>
        <w:jc w:val="both"/>
        <w:rPr>
          <w:rFonts w:ascii="Arial" w:hAnsi="Arial" w:cs="Arial"/>
          <w:sz w:val="21"/>
          <w:szCs w:val="21"/>
        </w:rPr>
      </w:pPr>
      <w:r w:rsidRPr="009042B2">
        <w:rPr>
          <w:rFonts w:ascii="Arial" w:hAnsi="Arial" w:cs="Arial"/>
          <w:sz w:val="21"/>
          <w:szCs w:val="21"/>
        </w:rPr>
        <w:t>En atención a la evaluación de la conveniencia de la reorganización de la estructura en las Agencias de Crédito rural, específicamente en la distribución eficiente de las plazas de los Ejecutivos de Financiamiento Rural (EFR), me permito informar que se llevaran a cabo las gestiones conducentes con las áreas competentes de acuerdo a sus atribuciones y responsabilidades, se analizará el fortalecimiento de la estructura orgánica de la Institución.</w:t>
      </w:r>
    </w:p>
    <w:p w:rsidR="002A2974" w:rsidRPr="009042B2" w:rsidRDefault="002A2974" w:rsidP="00DC406B">
      <w:pPr>
        <w:tabs>
          <w:tab w:val="left" w:pos="9356"/>
        </w:tabs>
        <w:autoSpaceDE w:val="0"/>
        <w:autoSpaceDN w:val="0"/>
        <w:adjustRightInd w:val="0"/>
        <w:spacing w:line="276" w:lineRule="auto"/>
        <w:jc w:val="both"/>
        <w:rPr>
          <w:rFonts w:ascii="Arial" w:hAnsi="Arial" w:cs="Arial"/>
          <w:sz w:val="21"/>
          <w:szCs w:val="21"/>
        </w:rPr>
      </w:pPr>
    </w:p>
    <w:p w:rsidR="00236E31" w:rsidRPr="009042B2" w:rsidRDefault="00236E31" w:rsidP="00236E31">
      <w:pPr>
        <w:jc w:val="both"/>
        <w:rPr>
          <w:rFonts w:ascii="Arial" w:eastAsia="Times New Roman" w:hAnsi="Arial" w:cs="Arial"/>
          <w:sz w:val="21"/>
          <w:szCs w:val="21"/>
          <w:lang w:val="es-MX" w:eastAsia="es-MX"/>
        </w:rPr>
      </w:pPr>
      <w:r w:rsidRPr="009042B2">
        <w:rPr>
          <w:rFonts w:ascii="Arial" w:hAnsi="Arial" w:cs="Arial"/>
          <w:sz w:val="21"/>
          <w:szCs w:val="21"/>
        </w:rPr>
        <w:t>Se solicita muy atentamente tener por presentado en tiempo y forma el presente escrito con la información señalada, lo anterior, se hace de su conocimiento con fundamento en el artículo 21, fracción VIII de Estatuto Orgánico de la Financiera Nacional de Desarrollo Agropecuario, Rural, Forestal y Pesquero.</w:t>
      </w:r>
    </w:p>
    <w:p w:rsidR="00C50A71" w:rsidRPr="009042B2" w:rsidRDefault="00C50A71" w:rsidP="007521F2">
      <w:pPr>
        <w:tabs>
          <w:tab w:val="left" w:pos="9356"/>
        </w:tabs>
        <w:autoSpaceDE w:val="0"/>
        <w:autoSpaceDN w:val="0"/>
        <w:adjustRightInd w:val="0"/>
        <w:spacing w:line="276" w:lineRule="auto"/>
        <w:jc w:val="both"/>
        <w:rPr>
          <w:rFonts w:ascii="Arial" w:hAnsi="Arial" w:cs="Arial"/>
          <w:sz w:val="21"/>
          <w:szCs w:val="21"/>
        </w:rPr>
      </w:pPr>
    </w:p>
    <w:p w:rsidR="00775F28" w:rsidRPr="009042B2" w:rsidRDefault="00775F28" w:rsidP="007521F2">
      <w:pPr>
        <w:tabs>
          <w:tab w:val="left" w:pos="9356"/>
        </w:tabs>
        <w:autoSpaceDE w:val="0"/>
        <w:autoSpaceDN w:val="0"/>
        <w:adjustRightInd w:val="0"/>
        <w:spacing w:line="276" w:lineRule="auto"/>
        <w:jc w:val="both"/>
        <w:rPr>
          <w:rFonts w:ascii="Arial" w:hAnsi="Arial" w:cs="Arial"/>
          <w:sz w:val="21"/>
          <w:szCs w:val="21"/>
        </w:rPr>
      </w:pPr>
      <w:r w:rsidRPr="009042B2">
        <w:rPr>
          <w:rFonts w:ascii="Arial" w:hAnsi="Arial" w:cs="Arial"/>
          <w:sz w:val="21"/>
          <w:szCs w:val="21"/>
        </w:rPr>
        <w:t>Sin otro particular, aprovecho para enviarle un cordial saludo.</w:t>
      </w:r>
    </w:p>
    <w:p w:rsidR="009042B2" w:rsidRDefault="009042B2" w:rsidP="00DB5526">
      <w:pPr>
        <w:tabs>
          <w:tab w:val="left" w:pos="9356"/>
        </w:tabs>
        <w:autoSpaceDE w:val="0"/>
        <w:autoSpaceDN w:val="0"/>
        <w:adjustRightInd w:val="0"/>
        <w:jc w:val="center"/>
        <w:rPr>
          <w:rFonts w:ascii="Arial" w:hAnsi="Arial" w:cs="Arial"/>
          <w:b/>
          <w:sz w:val="20"/>
          <w:szCs w:val="20"/>
        </w:rPr>
      </w:pPr>
    </w:p>
    <w:p w:rsidR="009042B2" w:rsidRDefault="009042B2" w:rsidP="00DB5526">
      <w:pPr>
        <w:tabs>
          <w:tab w:val="left" w:pos="9356"/>
        </w:tabs>
        <w:autoSpaceDE w:val="0"/>
        <w:autoSpaceDN w:val="0"/>
        <w:adjustRightInd w:val="0"/>
        <w:jc w:val="center"/>
        <w:rPr>
          <w:rFonts w:ascii="Arial" w:hAnsi="Arial" w:cs="Arial"/>
          <w:b/>
          <w:sz w:val="20"/>
          <w:szCs w:val="20"/>
        </w:rPr>
      </w:pPr>
    </w:p>
    <w:p w:rsidR="00445416" w:rsidRDefault="00445416" w:rsidP="00DB5526">
      <w:pPr>
        <w:tabs>
          <w:tab w:val="left" w:pos="9356"/>
        </w:tabs>
        <w:autoSpaceDE w:val="0"/>
        <w:autoSpaceDN w:val="0"/>
        <w:adjustRightInd w:val="0"/>
        <w:jc w:val="center"/>
        <w:rPr>
          <w:rFonts w:ascii="Arial" w:hAnsi="Arial" w:cs="Arial"/>
          <w:b/>
          <w:sz w:val="22"/>
          <w:szCs w:val="22"/>
        </w:rPr>
      </w:pPr>
    </w:p>
    <w:sectPr w:rsidR="00445416" w:rsidSect="00987B1B">
      <w:headerReference w:type="default" r:id="rId18"/>
      <w:footerReference w:type="default" r:id="rId19"/>
      <w:pgSz w:w="12240" w:h="15840"/>
      <w:pgMar w:top="2269" w:right="1183" w:bottom="1134" w:left="1418" w:header="568"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976" w:rsidRDefault="00425976" w:rsidP="00D77F9E">
      <w:r>
        <w:separator/>
      </w:r>
    </w:p>
  </w:endnote>
  <w:endnote w:type="continuationSeparator" w:id="0">
    <w:p w:rsidR="00425976" w:rsidRDefault="00425976" w:rsidP="00D77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dobe Caslon Pro">
    <w:altName w:val="Georgia"/>
    <w:charset w:val="00"/>
    <w:family w:val="roman"/>
    <w:pitch w:val="variable"/>
    <w:sig w:usb0="00000001" w:usb1="5000205B" w:usb2="00000000" w:usb3="00000000" w:csb0="0000009B" w:csb1="00000000"/>
  </w:font>
  <w:font w:name="Adobe Caslon Pro SmBd">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669" w:rsidRPr="00F950CE" w:rsidRDefault="008564AB" w:rsidP="00A01669">
    <w:pPr>
      <w:pStyle w:val="Piedepgina"/>
      <w:jc w:val="right"/>
      <w:rPr>
        <w:rFonts w:ascii="Arial" w:hAnsi="Arial" w:cs="Arial"/>
        <w:sz w:val="14"/>
        <w:szCs w:val="14"/>
      </w:rPr>
    </w:pPr>
    <w:sdt>
      <w:sdtPr>
        <w:id w:val="-644435770"/>
        <w:docPartObj>
          <w:docPartGallery w:val="Page Numbers (Bottom of Page)"/>
          <w:docPartUnique/>
        </w:docPartObj>
      </w:sdtPr>
      <w:sdtEndPr>
        <w:rPr>
          <w:rFonts w:ascii="Arial" w:hAnsi="Arial" w:cs="Arial"/>
          <w:sz w:val="14"/>
          <w:szCs w:val="14"/>
        </w:rPr>
      </w:sdtEndPr>
      <w:sdtContent>
        <w:r w:rsidR="00A01669" w:rsidRPr="00F950CE">
          <w:rPr>
            <w:rFonts w:ascii="Arial" w:hAnsi="Arial" w:cs="Arial"/>
            <w:sz w:val="14"/>
            <w:szCs w:val="14"/>
          </w:rPr>
          <w:fldChar w:fldCharType="begin"/>
        </w:r>
        <w:r w:rsidR="00A01669" w:rsidRPr="00F950CE">
          <w:rPr>
            <w:rFonts w:ascii="Arial" w:hAnsi="Arial" w:cs="Arial"/>
            <w:sz w:val="14"/>
            <w:szCs w:val="14"/>
          </w:rPr>
          <w:instrText>PAGE   \* MERGEFORMAT</w:instrText>
        </w:r>
        <w:r w:rsidR="00A01669" w:rsidRPr="00F950CE">
          <w:rPr>
            <w:rFonts w:ascii="Arial" w:hAnsi="Arial" w:cs="Arial"/>
            <w:sz w:val="14"/>
            <w:szCs w:val="14"/>
          </w:rPr>
          <w:fldChar w:fldCharType="separate"/>
        </w:r>
        <w:r w:rsidRPr="008564AB">
          <w:rPr>
            <w:rFonts w:ascii="Arial" w:hAnsi="Arial" w:cs="Arial"/>
            <w:noProof/>
            <w:sz w:val="14"/>
            <w:szCs w:val="14"/>
            <w:lang w:val="es-ES"/>
          </w:rPr>
          <w:t>2</w:t>
        </w:r>
        <w:r w:rsidR="00A01669" w:rsidRPr="00F950CE">
          <w:rPr>
            <w:rFonts w:ascii="Arial" w:hAnsi="Arial" w:cs="Arial"/>
            <w:sz w:val="14"/>
            <w:szCs w:val="14"/>
          </w:rPr>
          <w:fldChar w:fldCharType="end"/>
        </w:r>
        <w:r w:rsidR="00A01669">
          <w:rPr>
            <w:rFonts w:ascii="Arial" w:hAnsi="Arial" w:cs="Arial"/>
            <w:sz w:val="14"/>
            <w:szCs w:val="14"/>
          </w:rPr>
          <w:t xml:space="preserve"> de</w:t>
        </w:r>
      </w:sdtContent>
    </w:sdt>
    <w:r w:rsidR="00A01669">
      <w:rPr>
        <w:rFonts w:ascii="Arial" w:hAnsi="Arial" w:cs="Arial"/>
        <w:sz w:val="14"/>
        <w:szCs w:val="14"/>
      </w:rPr>
      <w:t xml:space="preserve"> </w:t>
    </w:r>
    <w:r w:rsidR="008053B9">
      <w:rPr>
        <w:rFonts w:ascii="Arial" w:hAnsi="Arial" w:cs="Arial"/>
        <w:sz w:val="14"/>
        <w:szCs w:val="14"/>
      </w:rPr>
      <w:t>9</w:t>
    </w:r>
  </w:p>
  <w:p w:rsidR="00CB1AF1" w:rsidRDefault="00CB1AF1" w:rsidP="00CB1AF1">
    <w:pPr>
      <w:pStyle w:val="Piedepgina"/>
      <w:jc w:val="center"/>
      <w:rPr>
        <w:rFonts w:ascii="Adobe Caslon Pro" w:hAnsi="Adobe Caslon Pro"/>
        <w:color w:val="808080"/>
        <w:sz w:val="16"/>
        <w:szCs w:val="16"/>
      </w:rPr>
    </w:pPr>
  </w:p>
  <w:p w:rsidR="00CB1AF1" w:rsidRDefault="00CB1AF1" w:rsidP="00CB1AF1">
    <w:pPr>
      <w:pStyle w:val="Piedepgina"/>
      <w:jc w:val="center"/>
      <w:rPr>
        <w:rFonts w:ascii="Adobe Caslon Pro" w:hAnsi="Adobe Caslon Pro"/>
        <w:color w:val="808080"/>
        <w:sz w:val="16"/>
        <w:szCs w:val="16"/>
      </w:rPr>
    </w:pPr>
    <w:r>
      <w:rPr>
        <w:rFonts w:ascii="Adobe Caslon Pro" w:hAnsi="Adobe Caslon Pro"/>
        <w:color w:val="808080"/>
        <w:sz w:val="16"/>
        <w:szCs w:val="16"/>
      </w:rPr>
      <w:t>Agrarismo 227, Col. Escandón</w:t>
    </w:r>
    <w:r w:rsidR="00D4507E">
      <w:rPr>
        <w:rFonts w:ascii="Adobe Caslon Pro" w:hAnsi="Adobe Caslon Pro"/>
        <w:color w:val="808080"/>
        <w:sz w:val="16"/>
        <w:szCs w:val="16"/>
      </w:rPr>
      <w:t xml:space="preserve">, </w:t>
    </w:r>
    <w:r>
      <w:rPr>
        <w:rFonts w:ascii="Adobe Caslon Pro" w:hAnsi="Adobe Caslon Pro"/>
        <w:color w:val="808080"/>
        <w:sz w:val="16"/>
        <w:szCs w:val="16"/>
      </w:rPr>
      <w:t>Miguel Hidalgo, Ciudad de México, C.P. 11800</w:t>
    </w:r>
  </w:p>
  <w:p w:rsidR="00CB1AF1" w:rsidRPr="00A90415" w:rsidRDefault="00CB1AF1" w:rsidP="00CB1AF1">
    <w:pPr>
      <w:pStyle w:val="Piedepgina"/>
      <w:jc w:val="center"/>
      <w:rPr>
        <w:rFonts w:ascii="Adobe Caslon Pro SmBd" w:hAnsi="Adobe Caslon Pro SmBd"/>
        <w:color w:val="808080"/>
        <w:sz w:val="16"/>
        <w:szCs w:val="16"/>
      </w:rPr>
    </w:pPr>
    <w:r>
      <w:rPr>
        <w:rFonts w:ascii="Adobe Caslon Pro" w:hAnsi="Adobe Caslon Pro"/>
        <w:color w:val="808080"/>
        <w:sz w:val="16"/>
        <w:szCs w:val="16"/>
      </w:rPr>
      <w:t>Tel: (55) 52301600 www.fnd.gob.mx</w:t>
    </w:r>
  </w:p>
  <w:p w:rsidR="00CB1AF1" w:rsidRDefault="00CB1A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976" w:rsidRDefault="00425976" w:rsidP="00D77F9E">
      <w:r>
        <w:separator/>
      </w:r>
    </w:p>
  </w:footnote>
  <w:footnote w:type="continuationSeparator" w:id="0">
    <w:p w:rsidR="00425976" w:rsidRDefault="00425976" w:rsidP="00D77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C94" w:rsidRDefault="00990C94">
    <w:pPr>
      <w:pStyle w:val="Encabezado"/>
    </w:pPr>
    <w:r>
      <w:rPr>
        <w:noProof/>
        <w:lang w:val="es-MX" w:eastAsia="es-MX"/>
      </w:rPr>
      <w:drawing>
        <wp:anchor distT="0" distB="0" distL="114300" distR="114300" simplePos="0" relativeHeight="251658240" behindDoc="1" locked="0" layoutInCell="1" allowOverlap="1" wp14:anchorId="7905BE89" wp14:editId="16F93D3A">
          <wp:simplePos x="0" y="0"/>
          <wp:positionH relativeFrom="column">
            <wp:posOffset>-1081405</wp:posOffset>
          </wp:positionH>
          <wp:positionV relativeFrom="paragraph">
            <wp:posOffset>-450215</wp:posOffset>
          </wp:positionV>
          <wp:extent cx="7775575" cy="10126345"/>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ICIO_pie_edit-07.jpg"/>
                  <pic:cNvPicPr/>
                </pic:nvPicPr>
                <pic:blipFill>
                  <a:blip r:embed="rId1">
                    <a:extLst>
                      <a:ext uri="{28A0092B-C50C-407E-A947-70E740481C1C}">
                        <a14:useLocalDpi xmlns:a14="http://schemas.microsoft.com/office/drawing/2010/main" val="0"/>
                      </a:ext>
                    </a:extLst>
                  </a:blip>
                  <a:stretch>
                    <a:fillRect/>
                  </a:stretch>
                </pic:blipFill>
                <pic:spPr>
                  <a:xfrm>
                    <a:off x="0" y="0"/>
                    <a:ext cx="7775575" cy="10126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58A6"/>
    <w:multiLevelType w:val="hybridMultilevel"/>
    <w:tmpl w:val="28D493C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 w15:restartNumberingAfterBreak="0">
    <w:nsid w:val="02F222A7"/>
    <w:multiLevelType w:val="hybridMultilevel"/>
    <w:tmpl w:val="1F845D46"/>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2" w15:restartNumberingAfterBreak="0">
    <w:nsid w:val="038237A4"/>
    <w:multiLevelType w:val="hybridMultilevel"/>
    <w:tmpl w:val="B3A8B720"/>
    <w:lvl w:ilvl="0" w:tplc="0409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D3A0B"/>
    <w:multiLevelType w:val="hybridMultilevel"/>
    <w:tmpl w:val="F7DEBEC4"/>
    <w:lvl w:ilvl="0" w:tplc="B69CF5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741B67"/>
    <w:multiLevelType w:val="hybridMultilevel"/>
    <w:tmpl w:val="BBC6299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3A4EB9"/>
    <w:multiLevelType w:val="hybridMultilevel"/>
    <w:tmpl w:val="0BF2A65C"/>
    <w:lvl w:ilvl="0" w:tplc="DFA457F6">
      <w:start w:val="1"/>
      <w:numFmt w:val="upp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C31A62"/>
    <w:multiLevelType w:val="hybridMultilevel"/>
    <w:tmpl w:val="19B21A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4A305C"/>
    <w:multiLevelType w:val="hybridMultilevel"/>
    <w:tmpl w:val="0BF2A65C"/>
    <w:lvl w:ilvl="0" w:tplc="DFA457F6">
      <w:start w:val="1"/>
      <w:numFmt w:val="upp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0D7F8C"/>
    <w:multiLevelType w:val="hybridMultilevel"/>
    <w:tmpl w:val="D56C08CA"/>
    <w:lvl w:ilvl="0" w:tplc="DFA457F6">
      <w:start w:val="6"/>
      <w:numFmt w:val="upp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F3BAC"/>
    <w:multiLevelType w:val="hybridMultilevel"/>
    <w:tmpl w:val="93E42F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F1A86"/>
    <w:multiLevelType w:val="hybridMultilevel"/>
    <w:tmpl w:val="19B21A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3A7A17"/>
    <w:multiLevelType w:val="hybridMultilevel"/>
    <w:tmpl w:val="4B2890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07737"/>
    <w:multiLevelType w:val="hybridMultilevel"/>
    <w:tmpl w:val="CFB87B5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943736"/>
    <w:multiLevelType w:val="hybridMultilevel"/>
    <w:tmpl w:val="54C448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64423C"/>
    <w:multiLevelType w:val="hybridMultilevel"/>
    <w:tmpl w:val="28D493C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5" w15:restartNumberingAfterBreak="0">
    <w:nsid w:val="2C586579"/>
    <w:multiLevelType w:val="multilevel"/>
    <w:tmpl w:val="A35ECED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2E0A0484"/>
    <w:multiLevelType w:val="hybridMultilevel"/>
    <w:tmpl w:val="D56C08CA"/>
    <w:lvl w:ilvl="0" w:tplc="DFA457F6">
      <w:start w:val="6"/>
      <w:numFmt w:val="upp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343798"/>
    <w:multiLevelType w:val="hybridMultilevel"/>
    <w:tmpl w:val="ED183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CB5AF0"/>
    <w:multiLevelType w:val="hybridMultilevel"/>
    <w:tmpl w:val="F0FA63F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35E13C37"/>
    <w:multiLevelType w:val="hybridMultilevel"/>
    <w:tmpl w:val="BA2CC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CE3F03"/>
    <w:multiLevelType w:val="hybridMultilevel"/>
    <w:tmpl w:val="3196A822"/>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CF2F6E"/>
    <w:multiLevelType w:val="hybridMultilevel"/>
    <w:tmpl w:val="19B21A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EF754F"/>
    <w:multiLevelType w:val="hybridMultilevel"/>
    <w:tmpl w:val="88E40CC4"/>
    <w:lvl w:ilvl="0" w:tplc="5C8CBC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DD498B"/>
    <w:multiLevelType w:val="hybridMultilevel"/>
    <w:tmpl w:val="FCECA09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0E3899"/>
    <w:multiLevelType w:val="hybridMultilevel"/>
    <w:tmpl w:val="EB7CA8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E449F8"/>
    <w:multiLevelType w:val="hybridMultilevel"/>
    <w:tmpl w:val="C0029C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240A73"/>
    <w:multiLevelType w:val="hybridMultilevel"/>
    <w:tmpl w:val="B7AE1D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AE01C7"/>
    <w:multiLevelType w:val="hybridMultilevel"/>
    <w:tmpl w:val="B29E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A7736F"/>
    <w:multiLevelType w:val="hybridMultilevel"/>
    <w:tmpl w:val="6AB65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CE0F02"/>
    <w:multiLevelType w:val="hybridMultilevel"/>
    <w:tmpl w:val="D02258CC"/>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0" w15:restartNumberingAfterBreak="0">
    <w:nsid w:val="5A384EC9"/>
    <w:multiLevelType w:val="hybridMultilevel"/>
    <w:tmpl w:val="0BF2A65C"/>
    <w:lvl w:ilvl="0" w:tplc="DFA457F6">
      <w:start w:val="1"/>
      <w:numFmt w:val="upp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B249EA"/>
    <w:multiLevelType w:val="hybridMultilevel"/>
    <w:tmpl w:val="4F40C3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C00D17"/>
    <w:multiLevelType w:val="hybridMultilevel"/>
    <w:tmpl w:val="970AEC96"/>
    <w:lvl w:ilvl="0" w:tplc="DFA457F6">
      <w:start w:val="5"/>
      <w:numFmt w:val="upp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FF0AD6"/>
    <w:multiLevelType w:val="hybridMultilevel"/>
    <w:tmpl w:val="90B01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21214B"/>
    <w:multiLevelType w:val="hybridMultilevel"/>
    <w:tmpl w:val="667AAB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9F1B2B"/>
    <w:multiLevelType w:val="hybridMultilevel"/>
    <w:tmpl w:val="19B21AD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8D12AA"/>
    <w:multiLevelType w:val="hybridMultilevel"/>
    <w:tmpl w:val="A30ED3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311210"/>
    <w:multiLevelType w:val="hybridMultilevel"/>
    <w:tmpl w:val="D02258CC"/>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8" w15:restartNumberingAfterBreak="0">
    <w:nsid w:val="71DC5FF4"/>
    <w:multiLevelType w:val="multilevel"/>
    <w:tmpl w:val="D48690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3CF1394"/>
    <w:multiLevelType w:val="hybridMultilevel"/>
    <w:tmpl w:val="C3AC3B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5B51AD"/>
    <w:multiLevelType w:val="multilevel"/>
    <w:tmpl w:val="425E5D0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1" w15:restartNumberingAfterBreak="0">
    <w:nsid w:val="76AC7FB9"/>
    <w:multiLevelType w:val="multilevel"/>
    <w:tmpl w:val="D48690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E414B77"/>
    <w:multiLevelType w:val="hybridMultilevel"/>
    <w:tmpl w:val="CACA48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09462A"/>
    <w:multiLevelType w:val="hybridMultilevel"/>
    <w:tmpl w:val="E716EF4C"/>
    <w:lvl w:ilvl="0" w:tplc="E8FA4F92">
      <w:start w:val="2"/>
      <w:numFmt w:val="upp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3"/>
  </w:num>
  <w:num w:numId="3">
    <w:abstractNumId w:val="19"/>
  </w:num>
  <w:num w:numId="4">
    <w:abstractNumId w:val="7"/>
  </w:num>
  <w:num w:numId="5">
    <w:abstractNumId w:val="30"/>
  </w:num>
  <w:num w:numId="6">
    <w:abstractNumId w:val="24"/>
  </w:num>
  <w:num w:numId="7">
    <w:abstractNumId w:val="5"/>
  </w:num>
  <w:num w:numId="8">
    <w:abstractNumId w:val="16"/>
  </w:num>
  <w:num w:numId="9">
    <w:abstractNumId w:val="32"/>
  </w:num>
  <w:num w:numId="10">
    <w:abstractNumId w:val="8"/>
  </w:num>
  <w:num w:numId="11">
    <w:abstractNumId w:val="34"/>
  </w:num>
  <w:num w:numId="12">
    <w:abstractNumId w:val="31"/>
  </w:num>
  <w:num w:numId="13">
    <w:abstractNumId w:val="11"/>
  </w:num>
  <w:num w:numId="14">
    <w:abstractNumId w:val="26"/>
  </w:num>
  <w:num w:numId="15">
    <w:abstractNumId w:val="3"/>
  </w:num>
  <w:num w:numId="16">
    <w:abstractNumId w:val="43"/>
  </w:num>
  <w:num w:numId="17">
    <w:abstractNumId w:val="10"/>
  </w:num>
  <w:num w:numId="18">
    <w:abstractNumId w:val="35"/>
  </w:num>
  <w:num w:numId="19">
    <w:abstractNumId w:val="6"/>
  </w:num>
  <w:num w:numId="20">
    <w:abstractNumId w:val="15"/>
  </w:num>
  <w:num w:numId="21">
    <w:abstractNumId w:val="38"/>
  </w:num>
  <w:num w:numId="22">
    <w:abstractNumId w:val="21"/>
  </w:num>
  <w:num w:numId="23">
    <w:abstractNumId w:val="41"/>
  </w:num>
  <w:num w:numId="24">
    <w:abstractNumId w:val="23"/>
  </w:num>
  <w:num w:numId="25">
    <w:abstractNumId w:val="1"/>
  </w:num>
  <w:num w:numId="26">
    <w:abstractNumId w:val="40"/>
  </w:num>
  <w:num w:numId="27">
    <w:abstractNumId w:val="22"/>
  </w:num>
  <w:num w:numId="28">
    <w:abstractNumId w:val="29"/>
  </w:num>
  <w:num w:numId="29">
    <w:abstractNumId w:val="0"/>
  </w:num>
  <w:num w:numId="30">
    <w:abstractNumId w:val="37"/>
  </w:num>
  <w:num w:numId="31">
    <w:abstractNumId w:val="14"/>
  </w:num>
  <w:num w:numId="32">
    <w:abstractNumId w:val="18"/>
  </w:num>
  <w:num w:numId="33">
    <w:abstractNumId w:val="2"/>
  </w:num>
  <w:num w:numId="34">
    <w:abstractNumId w:val="17"/>
  </w:num>
  <w:num w:numId="35">
    <w:abstractNumId w:val="36"/>
  </w:num>
  <w:num w:numId="36">
    <w:abstractNumId w:val="42"/>
  </w:num>
  <w:num w:numId="37">
    <w:abstractNumId w:val="33"/>
  </w:num>
  <w:num w:numId="38">
    <w:abstractNumId w:val="25"/>
  </w:num>
  <w:num w:numId="39">
    <w:abstractNumId w:val="20"/>
  </w:num>
  <w:num w:numId="40">
    <w:abstractNumId w:val="28"/>
  </w:num>
  <w:num w:numId="41">
    <w:abstractNumId w:val="27"/>
  </w:num>
  <w:num w:numId="42">
    <w:abstractNumId w:val="9"/>
  </w:num>
  <w:num w:numId="43">
    <w:abstractNumId w:val="39"/>
  </w:num>
  <w:num w:numId="4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cumentProtection w:edit="readOnly" w:formatting="1" w:enforcement="1" w:cryptProviderType="rsaAES" w:cryptAlgorithmClass="hash" w:cryptAlgorithmType="typeAny" w:cryptAlgorithmSid="14" w:cryptSpinCount="100000" w:hash="TAV9hqN54dIv0QJCj9vK9E8c4A5qDYgZfS9xLJ6AuVPmeu9j4k0WBPfYojmWuP2ye49EsDgYcckt3JSjVizoAQ==" w:salt="zitcJVMHa7OFCXnHZUjUAQ=="/>
  <w:autoFormatOverride/>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F9E"/>
    <w:rsid w:val="000029AE"/>
    <w:rsid w:val="00006F66"/>
    <w:rsid w:val="00010083"/>
    <w:rsid w:val="000115A3"/>
    <w:rsid w:val="00014676"/>
    <w:rsid w:val="00015B23"/>
    <w:rsid w:val="000171E1"/>
    <w:rsid w:val="000205C6"/>
    <w:rsid w:val="00022956"/>
    <w:rsid w:val="00026A99"/>
    <w:rsid w:val="00030441"/>
    <w:rsid w:val="00031E49"/>
    <w:rsid w:val="000320FD"/>
    <w:rsid w:val="00041F26"/>
    <w:rsid w:val="000428C2"/>
    <w:rsid w:val="00045F9C"/>
    <w:rsid w:val="00047AE3"/>
    <w:rsid w:val="00050FFD"/>
    <w:rsid w:val="00053AEE"/>
    <w:rsid w:val="00053E0A"/>
    <w:rsid w:val="00064D31"/>
    <w:rsid w:val="00065BDC"/>
    <w:rsid w:val="0007217C"/>
    <w:rsid w:val="00073A40"/>
    <w:rsid w:val="00073E14"/>
    <w:rsid w:val="00074161"/>
    <w:rsid w:val="000769BB"/>
    <w:rsid w:val="00081D38"/>
    <w:rsid w:val="000872F9"/>
    <w:rsid w:val="0008775E"/>
    <w:rsid w:val="00087F71"/>
    <w:rsid w:val="000931EC"/>
    <w:rsid w:val="000A07EA"/>
    <w:rsid w:val="000A1790"/>
    <w:rsid w:val="000A556E"/>
    <w:rsid w:val="000A557C"/>
    <w:rsid w:val="000A648B"/>
    <w:rsid w:val="000A7216"/>
    <w:rsid w:val="000B1757"/>
    <w:rsid w:val="000B1CAD"/>
    <w:rsid w:val="000B289C"/>
    <w:rsid w:val="000B2B60"/>
    <w:rsid w:val="000B2C27"/>
    <w:rsid w:val="000B2E74"/>
    <w:rsid w:val="000B3774"/>
    <w:rsid w:val="000B4311"/>
    <w:rsid w:val="000B4606"/>
    <w:rsid w:val="000C39FE"/>
    <w:rsid w:val="000C5351"/>
    <w:rsid w:val="000D16A6"/>
    <w:rsid w:val="000D210E"/>
    <w:rsid w:val="000D4072"/>
    <w:rsid w:val="000D7BF7"/>
    <w:rsid w:val="000E1275"/>
    <w:rsid w:val="000E2071"/>
    <w:rsid w:val="000E3BDC"/>
    <w:rsid w:val="000E4487"/>
    <w:rsid w:val="000E506E"/>
    <w:rsid w:val="000F16F0"/>
    <w:rsid w:val="000F24B1"/>
    <w:rsid w:val="000F277E"/>
    <w:rsid w:val="000F33C7"/>
    <w:rsid w:val="000F5504"/>
    <w:rsid w:val="000F7E12"/>
    <w:rsid w:val="0010502B"/>
    <w:rsid w:val="00105A65"/>
    <w:rsid w:val="001077C4"/>
    <w:rsid w:val="00111385"/>
    <w:rsid w:val="001128BC"/>
    <w:rsid w:val="00124541"/>
    <w:rsid w:val="00125F9D"/>
    <w:rsid w:val="001334DB"/>
    <w:rsid w:val="001411C5"/>
    <w:rsid w:val="001418DB"/>
    <w:rsid w:val="00145BA4"/>
    <w:rsid w:val="00151159"/>
    <w:rsid w:val="00151367"/>
    <w:rsid w:val="00152649"/>
    <w:rsid w:val="001533AF"/>
    <w:rsid w:val="00155106"/>
    <w:rsid w:val="00165813"/>
    <w:rsid w:val="00173545"/>
    <w:rsid w:val="00173B5F"/>
    <w:rsid w:val="00174544"/>
    <w:rsid w:val="00174E84"/>
    <w:rsid w:val="00183D63"/>
    <w:rsid w:val="0018470F"/>
    <w:rsid w:val="0018756A"/>
    <w:rsid w:val="00190915"/>
    <w:rsid w:val="00190C73"/>
    <w:rsid w:val="0019521B"/>
    <w:rsid w:val="001A13AC"/>
    <w:rsid w:val="001A2069"/>
    <w:rsid w:val="001A3D0A"/>
    <w:rsid w:val="001A4012"/>
    <w:rsid w:val="001A57BF"/>
    <w:rsid w:val="001B1286"/>
    <w:rsid w:val="001B1636"/>
    <w:rsid w:val="001B1E4C"/>
    <w:rsid w:val="001B335D"/>
    <w:rsid w:val="001B58B6"/>
    <w:rsid w:val="001B5FAC"/>
    <w:rsid w:val="001C1B02"/>
    <w:rsid w:val="001C4A81"/>
    <w:rsid w:val="001C5BBA"/>
    <w:rsid w:val="001C74DE"/>
    <w:rsid w:val="001C79F5"/>
    <w:rsid w:val="001D03C7"/>
    <w:rsid w:val="001D616E"/>
    <w:rsid w:val="001D6DF2"/>
    <w:rsid w:val="001E08B7"/>
    <w:rsid w:val="001E11B2"/>
    <w:rsid w:val="001E4AEE"/>
    <w:rsid w:val="001F180C"/>
    <w:rsid w:val="001F24A6"/>
    <w:rsid w:val="001F36AE"/>
    <w:rsid w:val="001F39D8"/>
    <w:rsid w:val="001F3ECD"/>
    <w:rsid w:val="001F5028"/>
    <w:rsid w:val="001F7263"/>
    <w:rsid w:val="00202E98"/>
    <w:rsid w:val="00204973"/>
    <w:rsid w:val="00204FF0"/>
    <w:rsid w:val="002052B6"/>
    <w:rsid w:val="00205CEC"/>
    <w:rsid w:val="00207303"/>
    <w:rsid w:val="00211E1E"/>
    <w:rsid w:val="002134AF"/>
    <w:rsid w:val="00221863"/>
    <w:rsid w:val="00221C68"/>
    <w:rsid w:val="002225E6"/>
    <w:rsid w:val="0023165F"/>
    <w:rsid w:val="00232703"/>
    <w:rsid w:val="0023298A"/>
    <w:rsid w:val="002333D8"/>
    <w:rsid w:val="0023556A"/>
    <w:rsid w:val="002359F7"/>
    <w:rsid w:val="00236E31"/>
    <w:rsid w:val="00237058"/>
    <w:rsid w:val="00241181"/>
    <w:rsid w:val="00242580"/>
    <w:rsid w:val="00243941"/>
    <w:rsid w:val="00244322"/>
    <w:rsid w:val="00247131"/>
    <w:rsid w:val="00250547"/>
    <w:rsid w:val="00250EDB"/>
    <w:rsid w:val="00251BCB"/>
    <w:rsid w:val="002537D4"/>
    <w:rsid w:val="00253AB8"/>
    <w:rsid w:val="00254791"/>
    <w:rsid w:val="00254B0F"/>
    <w:rsid w:val="00255504"/>
    <w:rsid w:val="002571E7"/>
    <w:rsid w:val="002634D2"/>
    <w:rsid w:val="00274572"/>
    <w:rsid w:val="0027508A"/>
    <w:rsid w:val="00277CDC"/>
    <w:rsid w:val="00280A32"/>
    <w:rsid w:val="002922E1"/>
    <w:rsid w:val="00293496"/>
    <w:rsid w:val="0029597E"/>
    <w:rsid w:val="002A1EE3"/>
    <w:rsid w:val="002A2772"/>
    <w:rsid w:val="002A2974"/>
    <w:rsid w:val="002A60E6"/>
    <w:rsid w:val="002B2D6A"/>
    <w:rsid w:val="002B2E28"/>
    <w:rsid w:val="002B34C0"/>
    <w:rsid w:val="002B4698"/>
    <w:rsid w:val="002B4CD3"/>
    <w:rsid w:val="002C372B"/>
    <w:rsid w:val="002C4405"/>
    <w:rsid w:val="002C4C9F"/>
    <w:rsid w:val="002C755B"/>
    <w:rsid w:val="002D0575"/>
    <w:rsid w:val="002D1E86"/>
    <w:rsid w:val="002D7A3F"/>
    <w:rsid w:val="002E4D4B"/>
    <w:rsid w:val="002F0F07"/>
    <w:rsid w:val="002F3EB9"/>
    <w:rsid w:val="002F474E"/>
    <w:rsid w:val="002F4A30"/>
    <w:rsid w:val="002F6EFC"/>
    <w:rsid w:val="003002BF"/>
    <w:rsid w:val="003002DA"/>
    <w:rsid w:val="00301028"/>
    <w:rsid w:val="00304F41"/>
    <w:rsid w:val="00306E91"/>
    <w:rsid w:val="00307091"/>
    <w:rsid w:val="003072FF"/>
    <w:rsid w:val="00311ADB"/>
    <w:rsid w:val="00313FCF"/>
    <w:rsid w:val="003154CD"/>
    <w:rsid w:val="00315F1C"/>
    <w:rsid w:val="00321AFC"/>
    <w:rsid w:val="0032211B"/>
    <w:rsid w:val="003226D2"/>
    <w:rsid w:val="0032499B"/>
    <w:rsid w:val="0032796F"/>
    <w:rsid w:val="00330799"/>
    <w:rsid w:val="00332974"/>
    <w:rsid w:val="00333220"/>
    <w:rsid w:val="00333BBA"/>
    <w:rsid w:val="00333DE2"/>
    <w:rsid w:val="003358E3"/>
    <w:rsid w:val="00336665"/>
    <w:rsid w:val="0034153F"/>
    <w:rsid w:val="00342AE3"/>
    <w:rsid w:val="00355B94"/>
    <w:rsid w:val="00356C5B"/>
    <w:rsid w:val="00356DFF"/>
    <w:rsid w:val="0036130A"/>
    <w:rsid w:val="0036246C"/>
    <w:rsid w:val="00362548"/>
    <w:rsid w:val="00380FB0"/>
    <w:rsid w:val="00382A6B"/>
    <w:rsid w:val="00385529"/>
    <w:rsid w:val="003874B2"/>
    <w:rsid w:val="003901A8"/>
    <w:rsid w:val="003906F0"/>
    <w:rsid w:val="00392FC7"/>
    <w:rsid w:val="00393320"/>
    <w:rsid w:val="00393BDF"/>
    <w:rsid w:val="00394123"/>
    <w:rsid w:val="00394C88"/>
    <w:rsid w:val="003A04E8"/>
    <w:rsid w:val="003A0E75"/>
    <w:rsid w:val="003A360A"/>
    <w:rsid w:val="003A3C78"/>
    <w:rsid w:val="003A3E98"/>
    <w:rsid w:val="003A4D1F"/>
    <w:rsid w:val="003B2B8D"/>
    <w:rsid w:val="003C181C"/>
    <w:rsid w:val="003C24DC"/>
    <w:rsid w:val="003C3C22"/>
    <w:rsid w:val="003C42B9"/>
    <w:rsid w:val="003D05B5"/>
    <w:rsid w:val="003D2421"/>
    <w:rsid w:val="003D3C52"/>
    <w:rsid w:val="003D645F"/>
    <w:rsid w:val="003D67C8"/>
    <w:rsid w:val="003D695C"/>
    <w:rsid w:val="003E09BE"/>
    <w:rsid w:val="003E30E2"/>
    <w:rsid w:val="003E5001"/>
    <w:rsid w:val="003E5392"/>
    <w:rsid w:val="003E6329"/>
    <w:rsid w:val="003E657B"/>
    <w:rsid w:val="003E6780"/>
    <w:rsid w:val="003E78EB"/>
    <w:rsid w:val="003F0167"/>
    <w:rsid w:val="003F1329"/>
    <w:rsid w:val="003F1902"/>
    <w:rsid w:val="003F4FEB"/>
    <w:rsid w:val="003F5CBE"/>
    <w:rsid w:val="003F62C6"/>
    <w:rsid w:val="003F63DD"/>
    <w:rsid w:val="003F6763"/>
    <w:rsid w:val="004027EB"/>
    <w:rsid w:val="00403232"/>
    <w:rsid w:val="0040530F"/>
    <w:rsid w:val="004078A0"/>
    <w:rsid w:val="004078B5"/>
    <w:rsid w:val="004101CD"/>
    <w:rsid w:val="00411E14"/>
    <w:rsid w:val="00413D95"/>
    <w:rsid w:val="004145DB"/>
    <w:rsid w:val="004169A2"/>
    <w:rsid w:val="004178DD"/>
    <w:rsid w:val="00421012"/>
    <w:rsid w:val="004214FD"/>
    <w:rsid w:val="00422E50"/>
    <w:rsid w:val="00425976"/>
    <w:rsid w:val="00425A7B"/>
    <w:rsid w:val="00425A86"/>
    <w:rsid w:val="004304B4"/>
    <w:rsid w:val="004304E3"/>
    <w:rsid w:val="00434321"/>
    <w:rsid w:val="00434692"/>
    <w:rsid w:val="00444E29"/>
    <w:rsid w:val="00445416"/>
    <w:rsid w:val="00446141"/>
    <w:rsid w:val="0045347B"/>
    <w:rsid w:val="00457353"/>
    <w:rsid w:val="00464368"/>
    <w:rsid w:val="0046517D"/>
    <w:rsid w:val="0046574C"/>
    <w:rsid w:val="00465B73"/>
    <w:rsid w:val="00466DE4"/>
    <w:rsid w:val="00470434"/>
    <w:rsid w:val="004707F4"/>
    <w:rsid w:val="004709B0"/>
    <w:rsid w:val="004724A9"/>
    <w:rsid w:val="004779FA"/>
    <w:rsid w:val="00477AAD"/>
    <w:rsid w:val="00477C01"/>
    <w:rsid w:val="00480DA3"/>
    <w:rsid w:val="00481D3B"/>
    <w:rsid w:val="00483985"/>
    <w:rsid w:val="00483A58"/>
    <w:rsid w:val="004907F3"/>
    <w:rsid w:val="00490BFC"/>
    <w:rsid w:val="00491082"/>
    <w:rsid w:val="00492DFF"/>
    <w:rsid w:val="004A1704"/>
    <w:rsid w:val="004A24A6"/>
    <w:rsid w:val="004A27A3"/>
    <w:rsid w:val="004A2FE8"/>
    <w:rsid w:val="004A3F2C"/>
    <w:rsid w:val="004A7EEE"/>
    <w:rsid w:val="004B0604"/>
    <w:rsid w:val="004B0B8B"/>
    <w:rsid w:val="004B1CB9"/>
    <w:rsid w:val="004B1E64"/>
    <w:rsid w:val="004B2213"/>
    <w:rsid w:val="004B3079"/>
    <w:rsid w:val="004B6ECE"/>
    <w:rsid w:val="004B7078"/>
    <w:rsid w:val="004C0ADC"/>
    <w:rsid w:val="004D14F3"/>
    <w:rsid w:val="004D2AEF"/>
    <w:rsid w:val="004D539B"/>
    <w:rsid w:val="004E12BE"/>
    <w:rsid w:val="004E4CB6"/>
    <w:rsid w:val="004F0251"/>
    <w:rsid w:val="004F10C0"/>
    <w:rsid w:val="004F3755"/>
    <w:rsid w:val="004F3CB4"/>
    <w:rsid w:val="004F4530"/>
    <w:rsid w:val="004F5493"/>
    <w:rsid w:val="00500F88"/>
    <w:rsid w:val="00504100"/>
    <w:rsid w:val="00507318"/>
    <w:rsid w:val="00512B3A"/>
    <w:rsid w:val="005160F5"/>
    <w:rsid w:val="0051615A"/>
    <w:rsid w:val="00516410"/>
    <w:rsid w:val="005164A3"/>
    <w:rsid w:val="00517358"/>
    <w:rsid w:val="00517B4A"/>
    <w:rsid w:val="00527389"/>
    <w:rsid w:val="005314BC"/>
    <w:rsid w:val="0053367D"/>
    <w:rsid w:val="005358F0"/>
    <w:rsid w:val="00535B8C"/>
    <w:rsid w:val="00540044"/>
    <w:rsid w:val="00546B77"/>
    <w:rsid w:val="00552060"/>
    <w:rsid w:val="0055282E"/>
    <w:rsid w:val="005543A1"/>
    <w:rsid w:val="0055679B"/>
    <w:rsid w:val="00560CAE"/>
    <w:rsid w:val="0057194F"/>
    <w:rsid w:val="0057348F"/>
    <w:rsid w:val="00575A3C"/>
    <w:rsid w:val="005761AF"/>
    <w:rsid w:val="005807B8"/>
    <w:rsid w:val="00582A10"/>
    <w:rsid w:val="005834A3"/>
    <w:rsid w:val="005847D9"/>
    <w:rsid w:val="0058614D"/>
    <w:rsid w:val="005868E0"/>
    <w:rsid w:val="00587B3E"/>
    <w:rsid w:val="00587CF4"/>
    <w:rsid w:val="0059251D"/>
    <w:rsid w:val="00595104"/>
    <w:rsid w:val="0059553E"/>
    <w:rsid w:val="00597E73"/>
    <w:rsid w:val="005A0363"/>
    <w:rsid w:val="005A1E0A"/>
    <w:rsid w:val="005A2C4F"/>
    <w:rsid w:val="005A37F0"/>
    <w:rsid w:val="005A59E6"/>
    <w:rsid w:val="005A63E9"/>
    <w:rsid w:val="005A6AD1"/>
    <w:rsid w:val="005A7ED3"/>
    <w:rsid w:val="005B421D"/>
    <w:rsid w:val="005B6532"/>
    <w:rsid w:val="005C364E"/>
    <w:rsid w:val="005C4880"/>
    <w:rsid w:val="005D1097"/>
    <w:rsid w:val="005D6C8F"/>
    <w:rsid w:val="005E11D6"/>
    <w:rsid w:val="005E347A"/>
    <w:rsid w:val="005E66C3"/>
    <w:rsid w:val="005E6E48"/>
    <w:rsid w:val="005E76E3"/>
    <w:rsid w:val="005F06A9"/>
    <w:rsid w:val="005F41F2"/>
    <w:rsid w:val="0060183A"/>
    <w:rsid w:val="006033FC"/>
    <w:rsid w:val="00605479"/>
    <w:rsid w:val="00610EEB"/>
    <w:rsid w:val="00612405"/>
    <w:rsid w:val="006125B1"/>
    <w:rsid w:val="00613439"/>
    <w:rsid w:val="00614355"/>
    <w:rsid w:val="006161DE"/>
    <w:rsid w:val="00625E8F"/>
    <w:rsid w:val="0062603F"/>
    <w:rsid w:val="00627112"/>
    <w:rsid w:val="00627E50"/>
    <w:rsid w:val="006324F1"/>
    <w:rsid w:val="00633117"/>
    <w:rsid w:val="006336CB"/>
    <w:rsid w:val="006375D3"/>
    <w:rsid w:val="006428ED"/>
    <w:rsid w:val="00643EC2"/>
    <w:rsid w:val="00644DD6"/>
    <w:rsid w:val="00647160"/>
    <w:rsid w:val="00650B15"/>
    <w:rsid w:val="00651262"/>
    <w:rsid w:val="00651D28"/>
    <w:rsid w:val="00656750"/>
    <w:rsid w:val="00657024"/>
    <w:rsid w:val="00660ADF"/>
    <w:rsid w:val="00665199"/>
    <w:rsid w:val="0066694E"/>
    <w:rsid w:val="0066766F"/>
    <w:rsid w:val="00672618"/>
    <w:rsid w:val="006738C6"/>
    <w:rsid w:val="00675C27"/>
    <w:rsid w:val="00676BEA"/>
    <w:rsid w:val="00677A93"/>
    <w:rsid w:val="00677E50"/>
    <w:rsid w:val="006804A2"/>
    <w:rsid w:val="0068071D"/>
    <w:rsid w:val="00681E9A"/>
    <w:rsid w:val="00682D92"/>
    <w:rsid w:val="006876B4"/>
    <w:rsid w:val="006A009A"/>
    <w:rsid w:val="006B250A"/>
    <w:rsid w:val="006B48AC"/>
    <w:rsid w:val="006B4AB4"/>
    <w:rsid w:val="006B72CD"/>
    <w:rsid w:val="006C0719"/>
    <w:rsid w:val="006C15DA"/>
    <w:rsid w:val="006C25F9"/>
    <w:rsid w:val="006C3486"/>
    <w:rsid w:val="006C74CA"/>
    <w:rsid w:val="006C7D48"/>
    <w:rsid w:val="006E4F39"/>
    <w:rsid w:val="006E73E1"/>
    <w:rsid w:val="006E7792"/>
    <w:rsid w:val="00703650"/>
    <w:rsid w:val="00704A7D"/>
    <w:rsid w:val="007116E5"/>
    <w:rsid w:val="00712EEE"/>
    <w:rsid w:val="0071491D"/>
    <w:rsid w:val="00715083"/>
    <w:rsid w:val="0071618B"/>
    <w:rsid w:val="007176B0"/>
    <w:rsid w:val="00717B8E"/>
    <w:rsid w:val="00724C8F"/>
    <w:rsid w:val="00727293"/>
    <w:rsid w:val="00727C09"/>
    <w:rsid w:val="007367A3"/>
    <w:rsid w:val="007372E9"/>
    <w:rsid w:val="00741317"/>
    <w:rsid w:val="00746636"/>
    <w:rsid w:val="0074760B"/>
    <w:rsid w:val="00750D63"/>
    <w:rsid w:val="007521F2"/>
    <w:rsid w:val="00753664"/>
    <w:rsid w:val="00753DF4"/>
    <w:rsid w:val="00757A03"/>
    <w:rsid w:val="00760319"/>
    <w:rsid w:val="00761A6F"/>
    <w:rsid w:val="00762FFE"/>
    <w:rsid w:val="00763E50"/>
    <w:rsid w:val="00764AE0"/>
    <w:rsid w:val="007665ED"/>
    <w:rsid w:val="00766F2B"/>
    <w:rsid w:val="0076750D"/>
    <w:rsid w:val="00771077"/>
    <w:rsid w:val="00771BFA"/>
    <w:rsid w:val="00775F28"/>
    <w:rsid w:val="0077679B"/>
    <w:rsid w:val="00780370"/>
    <w:rsid w:val="00781789"/>
    <w:rsid w:val="007823F1"/>
    <w:rsid w:val="007828B9"/>
    <w:rsid w:val="00783822"/>
    <w:rsid w:val="007839AB"/>
    <w:rsid w:val="00792667"/>
    <w:rsid w:val="00792F18"/>
    <w:rsid w:val="007968D1"/>
    <w:rsid w:val="007975BA"/>
    <w:rsid w:val="007A0C90"/>
    <w:rsid w:val="007A1E25"/>
    <w:rsid w:val="007A2A71"/>
    <w:rsid w:val="007B3618"/>
    <w:rsid w:val="007B4BE9"/>
    <w:rsid w:val="007B5423"/>
    <w:rsid w:val="007B6150"/>
    <w:rsid w:val="007B777A"/>
    <w:rsid w:val="007C0B6F"/>
    <w:rsid w:val="007C7ED2"/>
    <w:rsid w:val="007D0343"/>
    <w:rsid w:val="007D23A0"/>
    <w:rsid w:val="007E6EB5"/>
    <w:rsid w:val="007E7293"/>
    <w:rsid w:val="007F10E9"/>
    <w:rsid w:val="007F139D"/>
    <w:rsid w:val="007F4DF4"/>
    <w:rsid w:val="008053B9"/>
    <w:rsid w:val="008127B9"/>
    <w:rsid w:val="008160DF"/>
    <w:rsid w:val="008209F8"/>
    <w:rsid w:val="00822C66"/>
    <w:rsid w:val="00824CDC"/>
    <w:rsid w:val="008260C4"/>
    <w:rsid w:val="0082664C"/>
    <w:rsid w:val="008363C8"/>
    <w:rsid w:val="00836C08"/>
    <w:rsid w:val="0084490E"/>
    <w:rsid w:val="00844C4A"/>
    <w:rsid w:val="00844EF9"/>
    <w:rsid w:val="00846977"/>
    <w:rsid w:val="00847203"/>
    <w:rsid w:val="00854CD9"/>
    <w:rsid w:val="00854EE4"/>
    <w:rsid w:val="00855DA3"/>
    <w:rsid w:val="008561BC"/>
    <w:rsid w:val="008564AB"/>
    <w:rsid w:val="00862CE2"/>
    <w:rsid w:val="0086373A"/>
    <w:rsid w:val="00863CA9"/>
    <w:rsid w:val="00867A23"/>
    <w:rsid w:val="0087047F"/>
    <w:rsid w:val="0087295B"/>
    <w:rsid w:val="00875901"/>
    <w:rsid w:val="00882DD2"/>
    <w:rsid w:val="00886B92"/>
    <w:rsid w:val="00887B7B"/>
    <w:rsid w:val="00891CBD"/>
    <w:rsid w:val="00892DC0"/>
    <w:rsid w:val="008976DA"/>
    <w:rsid w:val="008A1583"/>
    <w:rsid w:val="008A19FB"/>
    <w:rsid w:val="008B0813"/>
    <w:rsid w:val="008B241F"/>
    <w:rsid w:val="008B332C"/>
    <w:rsid w:val="008B6977"/>
    <w:rsid w:val="008C40E1"/>
    <w:rsid w:val="008C427D"/>
    <w:rsid w:val="008C52CA"/>
    <w:rsid w:val="008C5ED4"/>
    <w:rsid w:val="008D0947"/>
    <w:rsid w:val="008D3B94"/>
    <w:rsid w:val="008D4DB2"/>
    <w:rsid w:val="008D5471"/>
    <w:rsid w:val="008D769A"/>
    <w:rsid w:val="008E0152"/>
    <w:rsid w:val="008E2E71"/>
    <w:rsid w:val="008E5AD4"/>
    <w:rsid w:val="008E65EC"/>
    <w:rsid w:val="008E69BD"/>
    <w:rsid w:val="008E7192"/>
    <w:rsid w:val="008F082F"/>
    <w:rsid w:val="008F3BC0"/>
    <w:rsid w:val="008F78BA"/>
    <w:rsid w:val="008F7C00"/>
    <w:rsid w:val="00900A92"/>
    <w:rsid w:val="00903706"/>
    <w:rsid w:val="009042B2"/>
    <w:rsid w:val="00904C2B"/>
    <w:rsid w:val="00906F77"/>
    <w:rsid w:val="00907707"/>
    <w:rsid w:val="00912277"/>
    <w:rsid w:val="00912F6C"/>
    <w:rsid w:val="00914B3A"/>
    <w:rsid w:val="009159E7"/>
    <w:rsid w:val="00923504"/>
    <w:rsid w:val="009347C2"/>
    <w:rsid w:val="00934B3A"/>
    <w:rsid w:val="0093577C"/>
    <w:rsid w:val="0094012E"/>
    <w:rsid w:val="00940E9A"/>
    <w:rsid w:val="00940FEC"/>
    <w:rsid w:val="009411AA"/>
    <w:rsid w:val="00942008"/>
    <w:rsid w:val="00943A38"/>
    <w:rsid w:val="00954507"/>
    <w:rsid w:val="00957D6A"/>
    <w:rsid w:val="00967978"/>
    <w:rsid w:val="0097110F"/>
    <w:rsid w:val="00971512"/>
    <w:rsid w:val="00972052"/>
    <w:rsid w:val="009734BA"/>
    <w:rsid w:val="00974976"/>
    <w:rsid w:val="00981D7B"/>
    <w:rsid w:val="00984C63"/>
    <w:rsid w:val="009851F5"/>
    <w:rsid w:val="00987B1B"/>
    <w:rsid w:val="00990C94"/>
    <w:rsid w:val="00994BDA"/>
    <w:rsid w:val="00995F89"/>
    <w:rsid w:val="009A09F5"/>
    <w:rsid w:val="009A0C0A"/>
    <w:rsid w:val="009A499F"/>
    <w:rsid w:val="009B2DCD"/>
    <w:rsid w:val="009B5411"/>
    <w:rsid w:val="009C1E20"/>
    <w:rsid w:val="009C3206"/>
    <w:rsid w:val="009C7322"/>
    <w:rsid w:val="009D002B"/>
    <w:rsid w:val="009D0E2F"/>
    <w:rsid w:val="009D4F00"/>
    <w:rsid w:val="009D6D76"/>
    <w:rsid w:val="009D708A"/>
    <w:rsid w:val="009E0D44"/>
    <w:rsid w:val="009E39E4"/>
    <w:rsid w:val="009E3FE6"/>
    <w:rsid w:val="009E462E"/>
    <w:rsid w:val="009E4EBE"/>
    <w:rsid w:val="009E594D"/>
    <w:rsid w:val="009E5D4C"/>
    <w:rsid w:val="009E79E4"/>
    <w:rsid w:val="009F0BEC"/>
    <w:rsid w:val="009F0C82"/>
    <w:rsid w:val="009F14D0"/>
    <w:rsid w:val="009F1D29"/>
    <w:rsid w:val="009F7D35"/>
    <w:rsid w:val="00A007E1"/>
    <w:rsid w:val="00A00BD6"/>
    <w:rsid w:val="00A01669"/>
    <w:rsid w:val="00A019C8"/>
    <w:rsid w:val="00A01F3E"/>
    <w:rsid w:val="00A02AB4"/>
    <w:rsid w:val="00A02B11"/>
    <w:rsid w:val="00A0379A"/>
    <w:rsid w:val="00A04076"/>
    <w:rsid w:val="00A062A1"/>
    <w:rsid w:val="00A119B8"/>
    <w:rsid w:val="00A130E2"/>
    <w:rsid w:val="00A13A1A"/>
    <w:rsid w:val="00A13BE3"/>
    <w:rsid w:val="00A13F24"/>
    <w:rsid w:val="00A14B47"/>
    <w:rsid w:val="00A15B40"/>
    <w:rsid w:val="00A16CF0"/>
    <w:rsid w:val="00A24A43"/>
    <w:rsid w:val="00A250AC"/>
    <w:rsid w:val="00A306B8"/>
    <w:rsid w:val="00A320C4"/>
    <w:rsid w:val="00A3583E"/>
    <w:rsid w:val="00A407AA"/>
    <w:rsid w:val="00A40B0E"/>
    <w:rsid w:val="00A4285B"/>
    <w:rsid w:val="00A45598"/>
    <w:rsid w:val="00A47B9D"/>
    <w:rsid w:val="00A6211C"/>
    <w:rsid w:val="00A63E38"/>
    <w:rsid w:val="00A64F04"/>
    <w:rsid w:val="00A67CCB"/>
    <w:rsid w:val="00A701C1"/>
    <w:rsid w:val="00A7447B"/>
    <w:rsid w:val="00A775D8"/>
    <w:rsid w:val="00A839A7"/>
    <w:rsid w:val="00A90415"/>
    <w:rsid w:val="00A95B4B"/>
    <w:rsid w:val="00A97B03"/>
    <w:rsid w:val="00AB4194"/>
    <w:rsid w:val="00AB4E37"/>
    <w:rsid w:val="00AB5358"/>
    <w:rsid w:val="00AB593D"/>
    <w:rsid w:val="00AB6A5B"/>
    <w:rsid w:val="00AC7382"/>
    <w:rsid w:val="00AC7481"/>
    <w:rsid w:val="00AC7D3F"/>
    <w:rsid w:val="00AD42D6"/>
    <w:rsid w:val="00AD7280"/>
    <w:rsid w:val="00AD75FD"/>
    <w:rsid w:val="00AE2FEC"/>
    <w:rsid w:val="00AE58C9"/>
    <w:rsid w:val="00B018C4"/>
    <w:rsid w:val="00B023D2"/>
    <w:rsid w:val="00B035ED"/>
    <w:rsid w:val="00B047A1"/>
    <w:rsid w:val="00B047E7"/>
    <w:rsid w:val="00B05783"/>
    <w:rsid w:val="00B1670C"/>
    <w:rsid w:val="00B168C4"/>
    <w:rsid w:val="00B16F86"/>
    <w:rsid w:val="00B1711C"/>
    <w:rsid w:val="00B176CD"/>
    <w:rsid w:val="00B233D5"/>
    <w:rsid w:val="00B2506A"/>
    <w:rsid w:val="00B3020C"/>
    <w:rsid w:val="00B35835"/>
    <w:rsid w:val="00B35AA5"/>
    <w:rsid w:val="00B37EB6"/>
    <w:rsid w:val="00B4479A"/>
    <w:rsid w:val="00B44D68"/>
    <w:rsid w:val="00B46C9A"/>
    <w:rsid w:val="00B50D9A"/>
    <w:rsid w:val="00B52E5A"/>
    <w:rsid w:val="00B54FF0"/>
    <w:rsid w:val="00B5656C"/>
    <w:rsid w:val="00B57616"/>
    <w:rsid w:val="00B64292"/>
    <w:rsid w:val="00B74931"/>
    <w:rsid w:val="00B81A10"/>
    <w:rsid w:val="00B829E2"/>
    <w:rsid w:val="00B839FE"/>
    <w:rsid w:val="00B83E3D"/>
    <w:rsid w:val="00B85A42"/>
    <w:rsid w:val="00B9082B"/>
    <w:rsid w:val="00B94386"/>
    <w:rsid w:val="00B956F7"/>
    <w:rsid w:val="00B967FA"/>
    <w:rsid w:val="00B968F6"/>
    <w:rsid w:val="00B96F96"/>
    <w:rsid w:val="00BA069F"/>
    <w:rsid w:val="00BA0BB5"/>
    <w:rsid w:val="00BA6F57"/>
    <w:rsid w:val="00BA77CD"/>
    <w:rsid w:val="00BA7B67"/>
    <w:rsid w:val="00BB15B8"/>
    <w:rsid w:val="00BB1928"/>
    <w:rsid w:val="00BB3043"/>
    <w:rsid w:val="00BB52F1"/>
    <w:rsid w:val="00BB6800"/>
    <w:rsid w:val="00BC30B1"/>
    <w:rsid w:val="00BC4E1F"/>
    <w:rsid w:val="00BD2B1E"/>
    <w:rsid w:val="00BD5517"/>
    <w:rsid w:val="00BD6729"/>
    <w:rsid w:val="00BE07D4"/>
    <w:rsid w:val="00BE16CE"/>
    <w:rsid w:val="00BE76F3"/>
    <w:rsid w:val="00BE7903"/>
    <w:rsid w:val="00BF19B1"/>
    <w:rsid w:val="00BF2578"/>
    <w:rsid w:val="00BF25B6"/>
    <w:rsid w:val="00BF2822"/>
    <w:rsid w:val="00BF5E55"/>
    <w:rsid w:val="00BF6D92"/>
    <w:rsid w:val="00BF79CA"/>
    <w:rsid w:val="00C052B4"/>
    <w:rsid w:val="00C06696"/>
    <w:rsid w:val="00C06D3A"/>
    <w:rsid w:val="00C12254"/>
    <w:rsid w:val="00C1317C"/>
    <w:rsid w:val="00C1510A"/>
    <w:rsid w:val="00C1603A"/>
    <w:rsid w:val="00C200CB"/>
    <w:rsid w:val="00C240A0"/>
    <w:rsid w:val="00C27AED"/>
    <w:rsid w:val="00C33107"/>
    <w:rsid w:val="00C33544"/>
    <w:rsid w:val="00C35750"/>
    <w:rsid w:val="00C40B86"/>
    <w:rsid w:val="00C44963"/>
    <w:rsid w:val="00C46E72"/>
    <w:rsid w:val="00C507FA"/>
    <w:rsid w:val="00C5088C"/>
    <w:rsid w:val="00C50A71"/>
    <w:rsid w:val="00C553B5"/>
    <w:rsid w:val="00C56459"/>
    <w:rsid w:val="00C66DA9"/>
    <w:rsid w:val="00C73131"/>
    <w:rsid w:val="00C738FA"/>
    <w:rsid w:val="00C73994"/>
    <w:rsid w:val="00C75592"/>
    <w:rsid w:val="00C7754C"/>
    <w:rsid w:val="00C82079"/>
    <w:rsid w:val="00C82D2D"/>
    <w:rsid w:val="00C831DB"/>
    <w:rsid w:val="00C84424"/>
    <w:rsid w:val="00C85583"/>
    <w:rsid w:val="00CA2EE9"/>
    <w:rsid w:val="00CA5DE6"/>
    <w:rsid w:val="00CA6477"/>
    <w:rsid w:val="00CB015E"/>
    <w:rsid w:val="00CB0695"/>
    <w:rsid w:val="00CB0FB2"/>
    <w:rsid w:val="00CB1AF1"/>
    <w:rsid w:val="00CB37F8"/>
    <w:rsid w:val="00CB6801"/>
    <w:rsid w:val="00CB72AE"/>
    <w:rsid w:val="00CC11E0"/>
    <w:rsid w:val="00CC19E5"/>
    <w:rsid w:val="00CC700F"/>
    <w:rsid w:val="00CC7F87"/>
    <w:rsid w:val="00CD00E3"/>
    <w:rsid w:val="00CD40D4"/>
    <w:rsid w:val="00CD5B26"/>
    <w:rsid w:val="00CD763D"/>
    <w:rsid w:val="00CD7F05"/>
    <w:rsid w:val="00CE23B8"/>
    <w:rsid w:val="00CE5923"/>
    <w:rsid w:val="00CE6260"/>
    <w:rsid w:val="00CE6630"/>
    <w:rsid w:val="00CF507D"/>
    <w:rsid w:val="00D00E9B"/>
    <w:rsid w:val="00D01665"/>
    <w:rsid w:val="00D01689"/>
    <w:rsid w:val="00D03F26"/>
    <w:rsid w:val="00D04054"/>
    <w:rsid w:val="00D04E44"/>
    <w:rsid w:val="00D0611E"/>
    <w:rsid w:val="00D1029D"/>
    <w:rsid w:val="00D122E6"/>
    <w:rsid w:val="00D150C4"/>
    <w:rsid w:val="00D1649F"/>
    <w:rsid w:val="00D166D6"/>
    <w:rsid w:val="00D22A6B"/>
    <w:rsid w:val="00D23A00"/>
    <w:rsid w:val="00D3412C"/>
    <w:rsid w:val="00D42F03"/>
    <w:rsid w:val="00D44687"/>
    <w:rsid w:val="00D449D3"/>
    <w:rsid w:val="00D4507E"/>
    <w:rsid w:val="00D45C5E"/>
    <w:rsid w:val="00D45EA1"/>
    <w:rsid w:val="00D46451"/>
    <w:rsid w:val="00D55A4A"/>
    <w:rsid w:val="00D57CFF"/>
    <w:rsid w:val="00D61E78"/>
    <w:rsid w:val="00D629C4"/>
    <w:rsid w:val="00D63E29"/>
    <w:rsid w:val="00D65BE3"/>
    <w:rsid w:val="00D672B3"/>
    <w:rsid w:val="00D70819"/>
    <w:rsid w:val="00D721D4"/>
    <w:rsid w:val="00D730E7"/>
    <w:rsid w:val="00D746EA"/>
    <w:rsid w:val="00D76AA5"/>
    <w:rsid w:val="00D77B67"/>
    <w:rsid w:val="00D77F9E"/>
    <w:rsid w:val="00D84F1E"/>
    <w:rsid w:val="00D84F47"/>
    <w:rsid w:val="00D85EC9"/>
    <w:rsid w:val="00D869D1"/>
    <w:rsid w:val="00D87C64"/>
    <w:rsid w:val="00D90C4B"/>
    <w:rsid w:val="00D91013"/>
    <w:rsid w:val="00D9480A"/>
    <w:rsid w:val="00D96F37"/>
    <w:rsid w:val="00DA4952"/>
    <w:rsid w:val="00DA506B"/>
    <w:rsid w:val="00DA6628"/>
    <w:rsid w:val="00DB1C67"/>
    <w:rsid w:val="00DB386C"/>
    <w:rsid w:val="00DB5526"/>
    <w:rsid w:val="00DB6117"/>
    <w:rsid w:val="00DC33FA"/>
    <w:rsid w:val="00DC378E"/>
    <w:rsid w:val="00DC3E29"/>
    <w:rsid w:val="00DC406B"/>
    <w:rsid w:val="00DC77EB"/>
    <w:rsid w:val="00DC79F1"/>
    <w:rsid w:val="00DD2743"/>
    <w:rsid w:val="00DD4500"/>
    <w:rsid w:val="00DD46F0"/>
    <w:rsid w:val="00DE0629"/>
    <w:rsid w:val="00DF1EF1"/>
    <w:rsid w:val="00DF7306"/>
    <w:rsid w:val="00E0269F"/>
    <w:rsid w:val="00E10407"/>
    <w:rsid w:val="00E130FC"/>
    <w:rsid w:val="00E149A3"/>
    <w:rsid w:val="00E15039"/>
    <w:rsid w:val="00E16A57"/>
    <w:rsid w:val="00E16DBD"/>
    <w:rsid w:val="00E21B01"/>
    <w:rsid w:val="00E236E9"/>
    <w:rsid w:val="00E24A62"/>
    <w:rsid w:val="00E2728A"/>
    <w:rsid w:val="00E318B1"/>
    <w:rsid w:val="00E32220"/>
    <w:rsid w:val="00E35761"/>
    <w:rsid w:val="00E361A7"/>
    <w:rsid w:val="00E367DF"/>
    <w:rsid w:val="00E51312"/>
    <w:rsid w:val="00E514A3"/>
    <w:rsid w:val="00E51B30"/>
    <w:rsid w:val="00E56A08"/>
    <w:rsid w:val="00E57151"/>
    <w:rsid w:val="00E64625"/>
    <w:rsid w:val="00E6466C"/>
    <w:rsid w:val="00E65ED4"/>
    <w:rsid w:val="00E66F57"/>
    <w:rsid w:val="00E6767F"/>
    <w:rsid w:val="00E77387"/>
    <w:rsid w:val="00E807AA"/>
    <w:rsid w:val="00E83F7F"/>
    <w:rsid w:val="00E855BC"/>
    <w:rsid w:val="00E85C4F"/>
    <w:rsid w:val="00E86507"/>
    <w:rsid w:val="00E86E79"/>
    <w:rsid w:val="00E901E8"/>
    <w:rsid w:val="00E919BE"/>
    <w:rsid w:val="00E960EF"/>
    <w:rsid w:val="00E97545"/>
    <w:rsid w:val="00EA0CAB"/>
    <w:rsid w:val="00EA3C54"/>
    <w:rsid w:val="00EA5657"/>
    <w:rsid w:val="00EA6019"/>
    <w:rsid w:val="00EA6243"/>
    <w:rsid w:val="00EB07C3"/>
    <w:rsid w:val="00EB60A5"/>
    <w:rsid w:val="00EC0DB7"/>
    <w:rsid w:val="00EC6021"/>
    <w:rsid w:val="00ED571C"/>
    <w:rsid w:val="00ED71B1"/>
    <w:rsid w:val="00ED7531"/>
    <w:rsid w:val="00EE08DC"/>
    <w:rsid w:val="00EF0670"/>
    <w:rsid w:val="00EF2F32"/>
    <w:rsid w:val="00EF339C"/>
    <w:rsid w:val="00EF36E6"/>
    <w:rsid w:val="00EF424D"/>
    <w:rsid w:val="00EF4649"/>
    <w:rsid w:val="00EF62BC"/>
    <w:rsid w:val="00F04822"/>
    <w:rsid w:val="00F0629B"/>
    <w:rsid w:val="00F10130"/>
    <w:rsid w:val="00F1218F"/>
    <w:rsid w:val="00F141D9"/>
    <w:rsid w:val="00F202B5"/>
    <w:rsid w:val="00F21CB9"/>
    <w:rsid w:val="00F227C9"/>
    <w:rsid w:val="00F2286B"/>
    <w:rsid w:val="00F26EC4"/>
    <w:rsid w:val="00F32E03"/>
    <w:rsid w:val="00F3317C"/>
    <w:rsid w:val="00F44BC4"/>
    <w:rsid w:val="00F45C92"/>
    <w:rsid w:val="00F52C81"/>
    <w:rsid w:val="00F531F9"/>
    <w:rsid w:val="00F53369"/>
    <w:rsid w:val="00F57083"/>
    <w:rsid w:val="00F6326E"/>
    <w:rsid w:val="00F636A0"/>
    <w:rsid w:val="00F64256"/>
    <w:rsid w:val="00F704BE"/>
    <w:rsid w:val="00F70668"/>
    <w:rsid w:val="00F70783"/>
    <w:rsid w:val="00F75701"/>
    <w:rsid w:val="00F83ADE"/>
    <w:rsid w:val="00F83CF8"/>
    <w:rsid w:val="00F845CF"/>
    <w:rsid w:val="00F85B38"/>
    <w:rsid w:val="00F90F6A"/>
    <w:rsid w:val="00F91D06"/>
    <w:rsid w:val="00F93861"/>
    <w:rsid w:val="00FA1903"/>
    <w:rsid w:val="00FA3018"/>
    <w:rsid w:val="00FA6139"/>
    <w:rsid w:val="00FA6A88"/>
    <w:rsid w:val="00FB09D5"/>
    <w:rsid w:val="00FB2008"/>
    <w:rsid w:val="00FB52CE"/>
    <w:rsid w:val="00FB5457"/>
    <w:rsid w:val="00FB716D"/>
    <w:rsid w:val="00FB7D95"/>
    <w:rsid w:val="00FC2325"/>
    <w:rsid w:val="00FC34EA"/>
    <w:rsid w:val="00FC3698"/>
    <w:rsid w:val="00FC3C41"/>
    <w:rsid w:val="00FC3D8D"/>
    <w:rsid w:val="00FD31F4"/>
    <w:rsid w:val="00FD5E6C"/>
    <w:rsid w:val="00FE3793"/>
    <w:rsid w:val="00FF39BD"/>
    <w:rsid w:val="00FF4575"/>
    <w:rsid w:val="00FF4C98"/>
    <w:rsid w:val="00FF720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49B0AE29-2A7F-4F88-9F90-A10F2F9CA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F9E"/>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77F9E"/>
    <w:pPr>
      <w:tabs>
        <w:tab w:val="center" w:pos="4252"/>
        <w:tab w:val="right" w:pos="8504"/>
      </w:tabs>
    </w:pPr>
  </w:style>
  <w:style w:type="character" w:customStyle="1" w:styleId="EncabezadoCar">
    <w:name w:val="Encabezado Car"/>
    <w:basedOn w:val="Fuentedeprrafopredeter"/>
    <w:link w:val="Encabezado"/>
    <w:uiPriority w:val="99"/>
    <w:locked/>
    <w:rsid w:val="00D77F9E"/>
    <w:rPr>
      <w:rFonts w:cs="Times New Roman"/>
    </w:rPr>
  </w:style>
  <w:style w:type="paragraph" w:styleId="Piedepgina">
    <w:name w:val="footer"/>
    <w:basedOn w:val="Normal"/>
    <w:link w:val="PiedepginaCar"/>
    <w:uiPriority w:val="99"/>
    <w:rsid w:val="00D77F9E"/>
    <w:pPr>
      <w:tabs>
        <w:tab w:val="center" w:pos="4252"/>
        <w:tab w:val="right" w:pos="8504"/>
      </w:tabs>
    </w:pPr>
  </w:style>
  <w:style w:type="character" w:customStyle="1" w:styleId="PiedepginaCar">
    <w:name w:val="Pie de página Car"/>
    <w:basedOn w:val="Fuentedeprrafopredeter"/>
    <w:link w:val="Piedepgina"/>
    <w:uiPriority w:val="99"/>
    <w:locked/>
    <w:rsid w:val="00D77F9E"/>
    <w:rPr>
      <w:rFonts w:cs="Times New Roman"/>
    </w:rPr>
  </w:style>
  <w:style w:type="paragraph" w:styleId="Textodeglobo">
    <w:name w:val="Balloon Text"/>
    <w:basedOn w:val="Normal"/>
    <w:link w:val="TextodegloboCar"/>
    <w:uiPriority w:val="99"/>
    <w:semiHidden/>
    <w:rsid w:val="00D77F9E"/>
    <w:rPr>
      <w:rFonts w:ascii="Lucida Grande" w:hAnsi="Lucida Grande"/>
      <w:sz w:val="18"/>
      <w:szCs w:val="18"/>
      <w:lang w:val="es-MX"/>
    </w:rPr>
  </w:style>
  <w:style w:type="character" w:customStyle="1" w:styleId="TextodegloboCar">
    <w:name w:val="Texto de globo Car"/>
    <w:basedOn w:val="Fuentedeprrafopredeter"/>
    <w:link w:val="Textodeglobo"/>
    <w:uiPriority w:val="99"/>
    <w:semiHidden/>
    <w:locked/>
    <w:rsid w:val="00D77F9E"/>
    <w:rPr>
      <w:rFonts w:ascii="Lucida Grande" w:hAnsi="Lucida Grande" w:cs="Times New Roman"/>
      <w:sz w:val="18"/>
    </w:rPr>
  </w:style>
  <w:style w:type="paragraph" w:styleId="NormalWeb">
    <w:name w:val="Normal (Web)"/>
    <w:basedOn w:val="Normal"/>
    <w:uiPriority w:val="99"/>
    <w:rsid w:val="003002DA"/>
    <w:pPr>
      <w:spacing w:before="100" w:beforeAutospacing="1" w:after="100" w:afterAutospacing="1"/>
    </w:pPr>
    <w:rPr>
      <w:rFonts w:ascii="Times New Roman" w:hAnsi="Times New Roman"/>
      <w:lang w:val="es-MX" w:eastAsia="es-MX"/>
    </w:rPr>
  </w:style>
  <w:style w:type="paragraph" w:styleId="Prrafodelista">
    <w:name w:val="List Paragraph"/>
    <w:aliases w:val="Listas,lp1"/>
    <w:basedOn w:val="Normal"/>
    <w:link w:val="PrrafodelistaCar"/>
    <w:uiPriority w:val="34"/>
    <w:qFormat/>
    <w:rsid w:val="00651D28"/>
    <w:pPr>
      <w:ind w:left="708"/>
    </w:pPr>
    <w:rPr>
      <w:rFonts w:ascii="Times New Roman" w:eastAsia="Times New Roman" w:hAnsi="Times New Roman"/>
      <w:lang w:val="es-ES"/>
    </w:rPr>
  </w:style>
  <w:style w:type="character" w:customStyle="1" w:styleId="PrrafodelistaCar">
    <w:name w:val="Párrafo de lista Car"/>
    <w:aliases w:val="Listas Car,lp1 Car"/>
    <w:link w:val="Prrafodelista"/>
    <w:uiPriority w:val="34"/>
    <w:locked/>
    <w:rsid w:val="00651D28"/>
    <w:rPr>
      <w:rFonts w:ascii="Times New Roman" w:eastAsia="Times New Roman" w:hAnsi="Times New Roman"/>
      <w:sz w:val="24"/>
      <w:szCs w:val="24"/>
      <w:lang w:val="es-ES" w:eastAsia="es-ES"/>
    </w:rPr>
  </w:style>
  <w:style w:type="paragraph" w:styleId="Textoindependiente">
    <w:name w:val="Body Text"/>
    <w:basedOn w:val="Normal"/>
    <w:link w:val="TextoindependienteCar"/>
    <w:rsid w:val="004214FD"/>
    <w:rPr>
      <w:rFonts w:ascii="Arial" w:eastAsia="Times New Roman" w:hAnsi="Arial"/>
      <w:sz w:val="16"/>
      <w:szCs w:val="20"/>
      <w:lang w:val="es-MX"/>
    </w:rPr>
  </w:style>
  <w:style w:type="character" w:customStyle="1" w:styleId="TextoindependienteCar">
    <w:name w:val="Texto independiente Car"/>
    <w:basedOn w:val="Fuentedeprrafopredeter"/>
    <w:link w:val="Textoindependiente"/>
    <w:rsid w:val="004214FD"/>
    <w:rPr>
      <w:rFonts w:ascii="Arial" w:eastAsia="Times New Roman" w:hAnsi="Arial"/>
      <w:sz w:val="16"/>
      <w:szCs w:val="20"/>
      <w:lang w:eastAsia="es-ES"/>
    </w:rPr>
  </w:style>
  <w:style w:type="table" w:styleId="Tablaconcuadrcula">
    <w:name w:val="Table Grid"/>
    <w:basedOn w:val="Tablanormal"/>
    <w:locked/>
    <w:rsid w:val="00D629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5CEC"/>
    <w:pPr>
      <w:autoSpaceDE w:val="0"/>
      <w:autoSpaceDN w:val="0"/>
      <w:adjustRightInd w:val="0"/>
    </w:pPr>
    <w:rPr>
      <w:rFonts w:ascii="Arial" w:eastAsia="Times New Roman" w:hAnsi="Arial" w:cs="Arial"/>
      <w:color w:val="000000"/>
      <w:sz w:val="24"/>
      <w:szCs w:val="24"/>
    </w:rPr>
  </w:style>
  <w:style w:type="paragraph" w:styleId="Textosinformato">
    <w:name w:val="Plain Text"/>
    <w:basedOn w:val="Normal"/>
    <w:link w:val="TextosinformatoCar"/>
    <w:uiPriority w:val="99"/>
    <w:unhideWhenUsed/>
    <w:rsid w:val="0023556A"/>
    <w:rPr>
      <w:rFonts w:ascii="Calibri" w:eastAsiaTheme="minorHAnsi" w:hAnsi="Calibri"/>
      <w:sz w:val="22"/>
      <w:szCs w:val="22"/>
      <w:lang w:val="es-MX" w:eastAsia="en-US"/>
    </w:rPr>
  </w:style>
  <w:style w:type="character" w:customStyle="1" w:styleId="TextosinformatoCar">
    <w:name w:val="Texto sin formato Car"/>
    <w:basedOn w:val="Fuentedeprrafopredeter"/>
    <w:link w:val="Textosinformato"/>
    <w:uiPriority w:val="99"/>
    <w:rsid w:val="0023556A"/>
    <w:rPr>
      <w:rFonts w:ascii="Calibri" w:eastAsiaTheme="minorHAnsi" w:hAnsi="Calibri"/>
      <w:lang w:eastAsia="en-US"/>
    </w:rPr>
  </w:style>
  <w:style w:type="character" w:styleId="Hipervnculo">
    <w:name w:val="Hyperlink"/>
    <w:basedOn w:val="Fuentedeprrafopredeter"/>
    <w:uiPriority w:val="99"/>
    <w:unhideWhenUsed/>
    <w:rsid w:val="00906F77"/>
    <w:rPr>
      <w:color w:val="0000FF" w:themeColor="hyperlink"/>
      <w:u w:val="single"/>
    </w:rPr>
  </w:style>
  <w:style w:type="paragraph" w:styleId="Sangra2detindependiente">
    <w:name w:val="Body Text Indent 2"/>
    <w:basedOn w:val="Normal"/>
    <w:link w:val="Sangra2detindependienteCar"/>
    <w:uiPriority w:val="99"/>
    <w:semiHidden/>
    <w:unhideWhenUsed/>
    <w:rsid w:val="00ED753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ED7531"/>
    <w:rPr>
      <w:sz w:val="24"/>
      <w:szCs w:val="24"/>
      <w:lang w:val="es-ES_tradnl" w:eastAsia="es-ES"/>
    </w:rPr>
  </w:style>
  <w:style w:type="paragraph" w:customStyle="1" w:styleId="Texto">
    <w:name w:val="Texto"/>
    <w:basedOn w:val="Normal"/>
    <w:link w:val="TextoCar"/>
    <w:rsid w:val="00ED7531"/>
    <w:pPr>
      <w:jc w:val="both"/>
    </w:pPr>
    <w:rPr>
      <w:rFonts w:ascii="Arial Narrow" w:eastAsia="Times New Roman" w:hAnsi="Arial Narrow"/>
      <w:sz w:val="22"/>
      <w:lang w:val="es-MX"/>
    </w:rPr>
  </w:style>
  <w:style w:type="character" w:customStyle="1" w:styleId="TextoCar">
    <w:name w:val="Texto Car"/>
    <w:link w:val="Texto"/>
    <w:rsid w:val="00ED7531"/>
    <w:rPr>
      <w:rFonts w:ascii="Arial Narrow" w:eastAsia="Times New Roman" w:hAnsi="Arial Narrow"/>
      <w:szCs w:val="24"/>
      <w:lang w:eastAsia="es-ES"/>
    </w:rPr>
  </w:style>
  <w:style w:type="paragraph" w:customStyle="1" w:styleId="Forma">
    <w:name w:val="Forma"/>
    <w:basedOn w:val="Normal"/>
    <w:link w:val="FormaCar"/>
    <w:rsid w:val="00B035ED"/>
    <w:pPr>
      <w:jc w:val="both"/>
    </w:pPr>
    <w:rPr>
      <w:rFonts w:ascii="Arial Narrow" w:eastAsia="Times New Roman" w:hAnsi="Arial Narrow"/>
      <w:sz w:val="18"/>
      <w:lang w:val="es-MX"/>
    </w:rPr>
  </w:style>
  <w:style w:type="character" w:customStyle="1" w:styleId="FormaCar">
    <w:name w:val="Forma Car"/>
    <w:link w:val="Forma"/>
    <w:rsid w:val="00B035ED"/>
    <w:rPr>
      <w:rFonts w:ascii="Arial Narrow" w:eastAsia="Times New Roman" w:hAnsi="Arial Narrow"/>
      <w:sz w:val="18"/>
      <w:szCs w:val="24"/>
      <w:lang w:eastAsia="es-ES"/>
    </w:rPr>
  </w:style>
  <w:style w:type="character" w:styleId="Hipervnculovisitado">
    <w:name w:val="FollowedHyperlink"/>
    <w:basedOn w:val="Fuentedeprrafopredeter"/>
    <w:uiPriority w:val="99"/>
    <w:semiHidden/>
    <w:unhideWhenUsed/>
    <w:rsid w:val="00C052B4"/>
    <w:rPr>
      <w:color w:val="800080" w:themeColor="followedHyperlink"/>
      <w:u w:val="single"/>
    </w:rPr>
  </w:style>
  <w:style w:type="paragraph" w:styleId="Revisin">
    <w:name w:val="Revision"/>
    <w:hidden/>
    <w:uiPriority w:val="99"/>
    <w:semiHidden/>
    <w:rsid w:val="004B1E64"/>
    <w:rPr>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491">
      <w:bodyDiv w:val="1"/>
      <w:marLeft w:val="0"/>
      <w:marRight w:val="0"/>
      <w:marTop w:val="0"/>
      <w:marBottom w:val="0"/>
      <w:divBdr>
        <w:top w:val="none" w:sz="0" w:space="0" w:color="auto"/>
        <w:left w:val="none" w:sz="0" w:space="0" w:color="auto"/>
        <w:bottom w:val="none" w:sz="0" w:space="0" w:color="auto"/>
        <w:right w:val="none" w:sz="0" w:space="0" w:color="auto"/>
      </w:divBdr>
    </w:div>
    <w:div w:id="83844743">
      <w:bodyDiv w:val="1"/>
      <w:marLeft w:val="0"/>
      <w:marRight w:val="0"/>
      <w:marTop w:val="0"/>
      <w:marBottom w:val="0"/>
      <w:divBdr>
        <w:top w:val="none" w:sz="0" w:space="0" w:color="auto"/>
        <w:left w:val="none" w:sz="0" w:space="0" w:color="auto"/>
        <w:bottom w:val="none" w:sz="0" w:space="0" w:color="auto"/>
        <w:right w:val="none" w:sz="0" w:space="0" w:color="auto"/>
      </w:divBdr>
    </w:div>
    <w:div w:id="666130528">
      <w:marLeft w:val="0"/>
      <w:marRight w:val="0"/>
      <w:marTop w:val="0"/>
      <w:marBottom w:val="0"/>
      <w:divBdr>
        <w:top w:val="none" w:sz="0" w:space="0" w:color="auto"/>
        <w:left w:val="none" w:sz="0" w:space="0" w:color="auto"/>
        <w:bottom w:val="none" w:sz="0" w:space="0" w:color="auto"/>
        <w:right w:val="none" w:sz="0" w:space="0" w:color="auto"/>
      </w:divBdr>
    </w:div>
    <w:div w:id="666130529">
      <w:marLeft w:val="0"/>
      <w:marRight w:val="0"/>
      <w:marTop w:val="0"/>
      <w:marBottom w:val="0"/>
      <w:divBdr>
        <w:top w:val="none" w:sz="0" w:space="0" w:color="auto"/>
        <w:left w:val="none" w:sz="0" w:space="0" w:color="auto"/>
        <w:bottom w:val="none" w:sz="0" w:space="0" w:color="auto"/>
        <w:right w:val="none" w:sz="0" w:space="0" w:color="auto"/>
      </w:divBdr>
    </w:div>
    <w:div w:id="666130530">
      <w:marLeft w:val="0"/>
      <w:marRight w:val="0"/>
      <w:marTop w:val="0"/>
      <w:marBottom w:val="0"/>
      <w:divBdr>
        <w:top w:val="none" w:sz="0" w:space="0" w:color="auto"/>
        <w:left w:val="none" w:sz="0" w:space="0" w:color="auto"/>
        <w:bottom w:val="none" w:sz="0" w:space="0" w:color="auto"/>
        <w:right w:val="none" w:sz="0" w:space="0" w:color="auto"/>
      </w:divBdr>
    </w:div>
    <w:div w:id="788166252">
      <w:bodyDiv w:val="1"/>
      <w:marLeft w:val="0"/>
      <w:marRight w:val="0"/>
      <w:marTop w:val="0"/>
      <w:marBottom w:val="0"/>
      <w:divBdr>
        <w:top w:val="none" w:sz="0" w:space="0" w:color="auto"/>
        <w:left w:val="none" w:sz="0" w:space="0" w:color="auto"/>
        <w:bottom w:val="none" w:sz="0" w:space="0" w:color="auto"/>
        <w:right w:val="none" w:sz="0" w:space="0" w:color="auto"/>
      </w:divBdr>
    </w:div>
    <w:div w:id="894507832">
      <w:bodyDiv w:val="1"/>
      <w:marLeft w:val="0"/>
      <w:marRight w:val="0"/>
      <w:marTop w:val="0"/>
      <w:marBottom w:val="0"/>
      <w:divBdr>
        <w:top w:val="none" w:sz="0" w:space="0" w:color="auto"/>
        <w:left w:val="none" w:sz="0" w:space="0" w:color="auto"/>
        <w:bottom w:val="none" w:sz="0" w:space="0" w:color="auto"/>
        <w:right w:val="none" w:sz="0" w:space="0" w:color="auto"/>
      </w:divBdr>
    </w:div>
    <w:div w:id="1084298240">
      <w:bodyDiv w:val="1"/>
      <w:marLeft w:val="0"/>
      <w:marRight w:val="0"/>
      <w:marTop w:val="0"/>
      <w:marBottom w:val="0"/>
      <w:divBdr>
        <w:top w:val="none" w:sz="0" w:space="0" w:color="auto"/>
        <w:left w:val="none" w:sz="0" w:space="0" w:color="auto"/>
        <w:bottom w:val="none" w:sz="0" w:space="0" w:color="auto"/>
        <w:right w:val="none" w:sz="0" w:space="0" w:color="auto"/>
      </w:divBdr>
    </w:div>
    <w:div w:id="1149714261">
      <w:bodyDiv w:val="1"/>
      <w:marLeft w:val="0"/>
      <w:marRight w:val="0"/>
      <w:marTop w:val="0"/>
      <w:marBottom w:val="0"/>
      <w:divBdr>
        <w:top w:val="none" w:sz="0" w:space="0" w:color="auto"/>
        <w:left w:val="none" w:sz="0" w:space="0" w:color="auto"/>
        <w:bottom w:val="none" w:sz="0" w:space="0" w:color="auto"/>
        <w:right w:val="none" w:sz="0" w:space="0" w:color="auto"/>
      </w:divBdr>
    </w:div>
    <w:div w:id="207947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54a3b582-127f-4a9c-97a8-073e7d414d69">ZWPNXQT7TAPS-954-13</_dlc_DocId>
    <_dlc_DocIdUrl xmlns="54a3b582-127f-4a9c-97a8-073e7d414d69">
      <Url>http://intranet.finrural.gob.mx/conocimiento/_layouts/15/DocIdRedir.aspx?ID=ZWPNXQT7TAPS-954-13</Url>
      <Description>ZWPNXQT7TAPS-954-13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ED9381CE73A8249A3BCD963144948C0" ma:contentTypeVersion="0" ma:contentTypeDescription="Crear nuevo documento." ma:contentTypeScope="" ma:versionID="c55bfec2d2346ffe94d6917a548384d1">
  <xsd:schema xmlns:xsd="http://www.w3.org/2001/XMLSchema" xmlns:xs="http://www.w3.org/2001/XMLSchema" xmlns:p="http://schemas.microsoft.com/office/2006/metadata/properties" xmlns:ns2="54a3b582-127f-4a9c-97a8-073e7d414d69" targetNamespace="http://schemas.microsoft.com/office/2006/metadata/properties" ma:root="true" ma:fieldsID="d1fb0774d132d8a8c5f827d3fade40f2" ns2:_="">
    <xsd:import namespace="54a3b582-127f-4a9c-97a8-073e7d414d6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3b582-127f-4a9c-97a8-073e7d414d6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BB09E-AF3E-442A-B620-CDC02AD41CB7}">
  <ds:schemaRefs>
    <ds:schemaRef ds:uri="http://schemas.microsoft.com/sharepoint/events"/>
  </ds:schemaRefs>
</ds:datastoreItem>
</file>

<file path=customXml/itemProps2.xml><?xml version="1.0" encoding="utf-8"?>
<ds:datastoreItem xmlns:ds="http://schemas.openxmlformats.org/officeDocument/2006/customXml" ds:itemID="{E303002F-A8E0-41BA-B93B-B702ECCC5993}">
  <ds:schemaRefs>
    <ds:schemaRef ds:uri="http://purl.org/dc/dcmitype/"/>
    <ds:schemaRef ds:uri="http://purl.org/dc/elements/1.1/"/>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54a3b582-127f-4a9c-97a8-073e7d414d69"/>
    <ds:schemaRef ds:uri="http://purl.org/dc/terms/"/>
  </ds:schemaRefs>
</ds:datastoreItem>
</file>

<file path=customXml/itemProps3.xml><?xml version="1.0" encoding="utf-8"?>
<ds:datastoreItem xmlns:ds="http://schemas.openxmlformats.org/officeDocument/2006/customXml" ds:itemID="{E1440D39-8FF2-4C87-A356-D5D5A254AC8E}">
  <ds:schemaRefs>
    <ds:schemaRef ds:uri="http://schemas.microsoft.com/sharepoint/v3/contenttype/forms"/>
  </ds:schemaRefs>
</ds:datastoreItem>
</file>

<file path=customXml/itemProps4.xml><?xml version="1.0" encoding="utf-8"?>
<ds:datastoreItem xmlns:ds="http://schemas.openxmlformats.org/officeDocument/2006/customXml" ds:itemID="{EAB98224-3531-4280-8DA5-FBF331CA4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3b582-127f-4a9c-97a8-073e7d414d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C9E0F5-E1DE-4AF7-ADF2-E4467421A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2419</Words>
  <Characters>13276</Characters>
  <Application>Microsoft Office Word</Application>
  <DocSecurity>8</DocSecurity>
  <Lines>110</Lines>
  <Paragraphs>31</Paragraphs>
  <ScaleCrop>false</ScaleCrop>
  <HeadingPairs>
    <vt:vector size="2" baseType="variant">
      <vt:variant>
        <vt:lpstr>Título</vt:lpstr>
      </vt:variant>
      <vt:variant>
        <vt:i4>1</vt:i4>
      </vt:variant>
    </vt:vector>
  </HeadingPairs>
  <TitlesOfParts>
    <vt:vector size="1" baseType="lpstr">
      <vt:lpstr>“2013, Año de la Lealtad Institucional y Centenario del Ejército Mexicano”</vt:lpstr>
    </vt:vector>
  </TitlesOfParts>
  <Company>ir-diseño</Company>
  <LinksUpToDate>false</LinksUpToDate>
  <CharactersWithSpaces>15664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Año de la Lealtad Institucional y Centenario del Ejército Mexicano”</dc:title>
  <dc:creator>r4MM sito</dc:creator>
  <cp:lastModifiedBy>Mauricio Ramon Trejo Ponce</cp:lastModifiedBy>
  <cp:revision>4</cp:revision>
  <cp:lastPrinted>2018-10-26T19:17:00Z</cp:lastPrinted>
  <dcterms:created xsi:type="dcterms:W3CDTF">2019-01-29T23:18:00Z</dcterms:created>
  <dcterms:modified xsi:type="dcterms:W3CDTF">2019-01-30T18:17:00Z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0x0101003ED9381CE73A8249A3BCD963144948C0</vt:lpwstr>
  </property>
  <property fmtid="{D5CDD505-2E9C-101B-9397-08002B2CF9AE}" pid="3" name="PublishingExpirationDate">
    <vt:lpwstr/>
  </property>
  <property fmtid="{D5CDD505-2E9C-101B-9397-08002B2CF9AE}" pid="4" name="PublishingStartDate">
    <vt:lpwstr/>
  </property>
  <property fmtid="{D5CDD505-2E9C-101B-9397-08002B2CF9AE}" pid="5" name="_dlc_DocIdItemGuid">
    <vt:lpwstr>fe96ca14-d14e-480d-9acd-6067e1ce42e9</vt:lpwstr>
  </property>
</Properties>
</file>