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62" w:rsidRDefault="00C24230" w:rsidP="00C24230">
      <w:pPr>
        <w:spacing w:after="0"/>
        <w:ind w:firstLine="708"/>
        <w:jc w:val="both"/>
        <w:rPr>
          <w:rFonts w:ascii="Arial" w:hAnsi="Arial" w:cs="Arial"/>
          <w:b/>
          <w:sz w:val="18"/>
        </w:rPr>
      </w:pPr>
      <w:r w:rsidRPr="00C24230">
        <w:rPr>
          <w:rFonts w:ascii="Arial" w:hAnsi="Arial" w:cs="Arial"/>
          <w:b/>
          <w:sz w:val="18"/>
        </w:rPr>
        <w:t>5.7 Subcomponente Activos Productivos</w:t>
      </w:r>
    </w:p>
    <w:p w:rsidR="00C24230" w:rsidRPr="00C24230" w:rsidRDefault="00C24230" w:rsidP="00C24230">
      <w:pPr>
        <w:spacing w:after="0"/>
        <w:ind w:firstLine="708"/>
        <w:jc w:val="both"/>
        <w:rPr>
          <w:rFonts w:ascii="Arial" w:hAnsi="Arial" w:cs="Arial"/>
          <w:b/>
          <w:sz w:val="18"/>
        </w:rPr>
      </w:pPr>
    </w:p>
    <w:p w:rsidR="00145E62" w:rsidRDefault="00C24230" w:rsidP="00145E62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5.7</w:t>
      </w:r>
      <w:r w:rsidR="00145E62" w:rsidRPr="00A93898">
        <w:rPr>
          <w:rFonts w:ascii="Arial" w:hAnsi="Arial" w:cs="Arial"/>
          <w:sz w:val="18"/>
        </w:rPr>
        <w:t>.1 La cobertura es nacional.</w:t>
      </w:r>
    </w:p>
    <w:p w:rsidR="00145E62" w:rsidRPr="00A93898" w:rsidRDefault="00145E62" w:rsidP="00145E62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145E62" w:rsidRPr="00A93898" w:rsidRDefault="00C24230" w:rsidP="00145E62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5.7</w:t>
      </w:r>
      <w:r w:rsidR="00145E62" w:rsidRPr="00A93898">
        <w:rPr>
          <w:rFonts w:ascii="Arial" w:hAnsi="Arial" w:cs="Arial"/>
          <w:sz w:val="18"/>
        </w:rPr>
        <w:t>.2 El sistema designado para el registro, autorización, ministración, seguimiento y supervisión de</w:t>
      </w:r>
    </w:p>
    <w:p w:rsidR="00145E62" w:rsidRDefault="00145E62" w:rsidP="00145E62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las sol</w:t>
      </w:r>
      <w:r w:rsidRPr="00A93898">
        <w:rPr>
          <w:rFonts w:ascii="Arial" w:hAnsi="Arial" w:cs="Arial"/>
          <w:sz w:val="18"/>
        </w:rPr>
        <w:t>icitudes del incentivo es el Sistema Don Ru.</w:t>
      </w:r>
    </w:p>
    <w:p w:rsidR="00145E62" w:rsidRPr="00A93898" w:rsidRDefault="00145E62" w:rsidP="00145E62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145E62" w:rsidRDefault="00C24230" w:rsidP="00C108E8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5.7</w:t>
      </w:r>
      <w:r w:rsidR="00145E62" w:rsidRPr="00A93898">
        <w:rPr>
          <w:rFonts w:ascii="Arial" w:hAnsi="Arial" w:cs="Arial"/>
          <w:sz w:val="18"/>
        </w:rPr>
        <w:t xml:space="preserve">.3 </w:t>
      </w:r>
      <w:r w:rsidR="00C108E8" w:rsidRPr="00C108E8">
        <w:rPr>
          <w:rFonts w:ascii="Arial" w:hAnsi="Arial" w:cs="Arial"/>
          <w:sz w:val="18"/>
        </w:rPr>
        <w:t>El período de ventanillas se publicará en el port</w:t>
      </w:r>
      <w:r w:rsidR="00C108E8">
        <w:rPr>
          <w:rFonts w:ascii="Arial" w:hAnsi="Arial" w:cs="Arial"/>
          <w:sz w:val="18"/>
        </w:rPr>
        <w:t xml:space="preserve">al de "FND" con la convocatoria </w:t>
      </w:r>
      <w:r w:rsidR="00C108E8" w:rsidRPr="00C108E8">
        <w:rPr>
          <w:rFonts w:ascii="Arial" w:hAnsi="Arial" w:cs="Arial"/>
          <w:sz w:val="18"/>
        </w:rPr>
        <w:t>correspondiente.</w:t>
      </w:r>
    </w:p>
    <w:p w:rsidR="00C108E8" w:rsidRPr="00C108E8" w:rsidRDefault="00C108E8" w:rsidP="00C108E8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145E62" w:rsidRPr="00A93898" w:rsidRDefault="00C24230" w:rsidP="00145E62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5.7</w:t>
      </w:r>
      <w:r w:rsidR="00145E62" w:rsidRPr="00A93898">
        <w:rPr>
          <w:rFonts w:ascii="Arial" w:hAnsi="Arial" w:cs="Arial"/>
          <w:sz w:val="18"/>
        </w:rPr>
        <w:t>.4 Los conceptos y montos del incentivo para el presente ejercicio fiscal son los siguientes:</w:t>
      </w:r>
    </w:p>
    <w:p w:rsidR="00145E62" w:rsidRDefault="00145E62" w:rsidP="00145E62">
      <w:pPr>
        <w:spacing w:after="0"/>
        <w:ind w:firstLine="708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5289"/>
      </w:tblGrid>
      <w:tr w:rsidR="00145E62" w:rsidTr="00734C97">
        <w:tc>
          <w:tcPr>
            <w:tcW w:w="2693" w:type="dxa"/>
            <w:shd w:val="clear" w:color="auto" w:fill="A6A6A6" w:themeFill="background1" w:themeFillShade="A6"/>
          </w:tcPr>
          <w:p w:rsidR="00145E62" w:rsidRPr="0071268E" w:rsidRDefault="00C108E8" w:rsidP="00734C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MODALIDAD DEL PROYECTO</w:t>
            </w:r>
          </w:p>
        </w:tc>
        <w:tc>
          <w:tcPr>
            <w:tcW w:w="5289" w:type="dxa"/>
            <w:shd w:val="clear" w:color="auto" w:fill="A6A6A6" w:themeFill="background1" w:themeFillShade="A6"/>
          </w:tcPr>
          <w:p w:rsidR="00145E62" w:rsidRPr="00420A51" w:rsidRDefault="00145E62" w:rsidP="00734C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20A51">
              <w:rPr>
                <w:rFonts w:ascii="Arial" w:hAnsi="Arial" w:cs="Arial"/>
                <w:b/>
                <w:sz w:val="18"/>
              </w:rPr>
              <w:t>MONTOS MÁXIMOS</w:t>
            </w:r>
          </w:p>
        </w:tc>
      </w:tr>
      <w:tr w:rsidR="00145E62" w:rsidTr="00734C97">
        <w:trPr>
          <w:trHeight w:val="717"/>
        </w:trPr>
        <w:tc>
          <w:tcPr>
            <w:tcW w:w="2693" w:type="dxa"/>
          </w:tcPr>
          <w:p w:rsidR="00145E62" w:rsidRPr="00851B86" w:rsidRDefault="00C108E8" w:rsidP="00734C9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General</w:t>
            </w:r>
          </w:p>
          <w:p w:rsidR="00145E62" w:rsidRPr="00851B86" w:rsidRDefault="00145E62" w:rsidP="00734C97">
            <w:pPr>
              <w:jc w:val="both"/>
              <w:rPr>
                <w:rFonts w:ascii="Arial" w:hAnsi="Arial" w:cs="Arial"/>
                <w:sz w:val="18"/>
              </w:rPr>
            </w:pPr>
          </w:p>
          <w:p w:rsidR="00145E62" w:rsidRDefault="00145E62" w:rsidP="00734C9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89" w:type="dxa"/>
          </w:tcPr>
          <w:p w:rsidR="00C108E8" w:rsidRPr="00C108E8" w:rsidRDefault="00C108E8" w:rsidP="00C108E8">
            <w:pPr>
              <w:jc w:val="both"/>
              <w:rPr>
                <w:rFonts w:ascii="Arial" w:hAnsi="Arial" w:cs="Arial"/>
                <w:sz w:val="18"/>
              </w:rPr>
            </w:pPr>
            <w:r w:rsidRPr="00C108E8">
              <w:rPr>
                <w:rFonts w:ascii="Arial" w:hAnsi="Arial" w:cs="Arial"/>
                <w:sz w:val="18"/>
              </w:rPr>
              <w:t>Hasta el 35% de la inversión total, sin rebasar $</w:t>
            </w:r>
            <w:r>
              <w:rPr>
                <w:rFonts w:ascii="Arial" w:hAnsi="Arial" w:cs="Arial"/>
                <w:sz w:val="18"/>
              </w:rPr>
              <w:t xml:space="preserve">5,000,000.00 (Cinco millones de </w:t>
            </w:r>
            <w:r w:rsidRPr="00C108E8">
              <w:rPr>
                <w:rFonts w:ascii="Arial" w:hAnsi="Arial" w:cs="Arial"/>
                <w:sz w:val="18"/>
              </w:rPr>
              <w:t>pesos 00/100 M.N.), por proyecto.</w:t>
            </w:r>
          </w:p>
          <w:p w:rsidR="00145E62" w:rsidRDefault="00C108E8" w:rsidP="00C108E8">
            <w:pPr>
              <w:jc w:val="both"/>
              <w:rPr>
                <w:rFonts w:ascii="Arial" w:hAnsi="Arial" w:cs="Arial"/>
                <w:sz w:val="18"/>
              </w:rPr>
            </w:pPr>
            <w:r w:rsidRPr="00C108E8">
              <w:rPr>
                <w:rFonts w:ascii="Arial" w:hAnsi="Arial" w:cs="Arial"/>
                <w:sz w:val="18"/>
              </w:rPr>
              <w:t>Para la Población Objetivo Prioritaria, los por</w:t>
            </w:r>
            <w:r>
              <w:rPr>
                <w:rFonts w:ascii="Arial" w:hAnsi="Arial" w:cs="Arial"/>
                <w:sz w:val="18"/>
              </w:rPr>
              <w:t xml:space="preserve">centajes y montos máximos serán </w:t>
            </w:r>
            <w:r w:rsidRPr="00C108E8">
              <w:rPr>
                <w:rFonts w:ascii="Arial" w:hAnsi="Arial" w:cs="Arial"/>
                <w:sz w:val="18"/>
              </w:rPr>
              <w:t>hasta del 70% de la inversión total, sin rebasar $</w:t>
            </w:r>
            <w:r>
              <w:rPr>
                <w:rFonts w:ascii="Arial" w:hAnsi="Arial" w:cs="Arial"/>
                <w:sz w:val="18"/>
              </w:rPr>
              <w:t>5,000,000.00 (Cinco millones de p</w:t>
            </w:r>
            <w:r w:rsidRPr="00C108E8">
              <w:rPr>
                <w:rFonts w:ascii="Arial" w:hAnsi="Arial" w:cs="Arial"/>
                <w:sz w:val="18"/>
              </w:rPr>
              <w:t>esos 00/100 M.N.</w:t>
            </w:r>
            <w:r>
              <w:rPr>
                <w:rFonts w:ascii="Arial" w:hAnsi="Arial" w:cs="Arial"/>
                <w:sz w:val="18"/>
              </w:rPr>
              <w:t>)</w:t>
            </w:r>
            <w:r w:rsidRPr="00C108E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</w:t>
            </w:r>
            <w:r w:rsidRPr="00C108E8">
              <w:rPr>
                <w:rFonts w:ascii="Arial" w:hAnsi="Arial" w:cs="Arial"/>
                <w:sz w:val="18"/>
              </w:rPr>
              <w:t xml:space="preserve">or </w:t>
            </w:r>
            <w:r>
              <w:rPr>
                <w:rFonts w:ascii="Arial" w:hAnsi="Arial" w:cs="Arial"/>
                <w:sz w:val="18"/>
              </w:rPr>
              <w:t>proy</w:t>
            </w:r>
            <w:r w:rsidRPr="00C108E8">
              <w:rPr>
                <w:rFonts w:ascii="Arial" w:hAnsi="Arial" w:cs="Arial"/>
                <w:sz w:val="18"/>
              </w:rPr>
              <w:t>ecto.</w:t>
            </w:r>
          </w:p>
        </w:tc>
      </w:tr>
      <w:tr w:rsidR="00145E62" w:rsidTr="00734C97">
        <w:tc>
          <w:tcPr>
            <w:tcW w:w="2693" w:type="dxa"/>
          </w:tcPr>
          <w:p w:rsidR="00145E62" w:rsidRDefault="00D63972" w:rsidP="00D6397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Proyecto Simplificado</w:t>
            </w:r>
          </w:p>
        </w:tc>
        <w:tc>
          <w:tcPr>
            <w:tcW w:w="5289" w:type="dxa"/>
          </w:tcPr>
          <w:p w:rsidR="00D63972" w:rsidRPr="00D63972" w:rsidRDefault="00D63972" w:rsidP="00D63972">
            <w:pPr>
              <w:jc w:val="both"/>
              <w:rPr>
                <w:rFonts w:ascii="Arial" w:hAnsi="Arial" w:cs="Arial"/>
                <w:sz w:val="18"/>
              </w:rPr>
            </w:pPr>
            <w:r w:rsidRPr="00D63972">
              <w:rPr>
                <w:rFonts w:ascii="Arial" w:hAnsi="Arial" w:cs="Arial"/>
                <w:sz w:val="18"/>
              </w:rPr>
              <w:t>Hasta el 35% de la inversión total, sin rebasar</w:t>
            </w:r>
            <w:r>
              <w:rPr>
                <w:rFonts w:ascii="Arial" w:hAnsi="Arial" w:cs="Arial"/>
                <w:sz w:val="18"/>
              </w:rPr>
              <w:t xml:space="preserve"> $400,000.00 (Cuatrocientos mil </w:t>
            </w:r>
            <w:r w:rsidRPr="00D63972">
              <w:rPr>
                <w:rFonts w:ascii="Arial" w:hAnsi="Arial" w:cs="Arial"/>
                <w:sz w:val="18"/>
              </w:rPr>
              <w:t>pesos 00/100 M.N.) por proyecto.</w:t>
            </w:r>
          </w:p>
          <w:p w:rsidR="00145E62" w:rsidRDefault="00D63972" w:rsidP="00D63972">
            <w:pPr>
              <w:jc w:val="both"/>
              <w:rPr>
                <w:rFonts w:ascii="Arial" w:hAnsi="Arial" w:cs="Arial"/>
                <w:sz w:val="18"/>
              </w:rPr>
            </w:pPr>
            <w:r w:rsidRPr="00D63972">
              <w:rPr>
                <w:rFonts w:ascii="Arial" w:hAnsi="Arial" w:cs="Arial"/>
                <w:sz w:val="18"/>
              </w:rPr>
              <w:t>Para la Población Objetivo Prioritaria, los por</w:t>
            </w:r>
            <w:r>
              <w:rPr>
                <w:rFonts w:ascii="Arial" w:hAnsi="Arial" w:cs="Arial"/>
                <w:sz w:val="18"/>
              </w:rPr>
              <w:t xml:space="preserve">centajes y montos máximos serán </w:t>
            </w:r>
            <w:r w:rsidRPr="00D63972">
              <w:rPr>
                <w:rFonts w:ascii="Arial" w:hAnsi="Arial" w:cs="Arial"/>
                <w:sz w:val="18"/>
              </w:rPr>
              <w:t>hasta del 70% de la inversión total, sin rebasar</w:t>
            </w:r>
            <w:r>
              <w:rPr>
                <w:rFonts w:ascii="Arial" w:hAnsi="Arial" w:cs="Arial"/>
                <w:sz w:val="18"/>
              </w:rPr>
              <w:t xml:space="preserve"> $400,000.00 (Cuatrocientos mil p</w:t>
            </w:r>
            <w:r w:rsidRPr="00D63972">
              <w:rPr>
                <w:rFonts w:ascii="Arial" w:hAnsi="Arial" w:cs="Arial"/>
                <w:sz w:val="18"/>
              </w:rPr>
              <w:t>esos 00/100 M.N.</w:t>
            </w:r>
            <w:r>
              <w:rPr>
                <w:rFonts w:ascii="Arial" w:hAnsi="Arial" w:cs="Arial"/>
                <w:sz w:val="18"/>
              </w:rPr>
              <w:t xml:space="preserve"> por proyecto.</w:t>
            </w:r>
          </w:p>
        </w:tc>
      </w:tr>
      <w:tr w:rsidR="00145E62" w:rsidTr="00734C97">
        <w:tc>
          <w:tcPr>
            <w:tcW w:w="2693" w:type="dxa"/>
          </w:tcPr>
          <w:p w:rsidR="00145E62" w:rsidRPr="00A061C9" w:rsidRDefault="00D63972" w:rsidP="00734C97">
            <w:pPr>
              <w:jc w:val="both"/>
              <w:rPr>
                <w:rFonts w:ascii="Arial" w:hAnsi="Arial" w:cs="Arial"/>
                <w:sz w:val="18"/>
              </w:rPr>
            </w:pPr>
            <w:r w:rsidRPr="00D63972">
              <w:rPr>
                <w:rFonts w:ascii="Arial" w:hAnsi="Arial" w:cs="Arial"/>
                <w:sz w:val="18"/>
              </w:rPr>
              <w:t xml:space="preserve">Integrales de Alto Impacto </w:t>
            </w:r>
          </w:p>
        </w:tc>
        <w:tc>
          <w:tcPr>
            <w:tcW w:w="5289" w:type="dxa"/>
          </w:tcPr>
          <w:p w:rsidR="00D63972" w:rsidRPr="00D63972" w:rsidRDefault="00D63972" w:rsidP="00D63972">
            <w:pPr>
              <w:jc w:val="both"/>
              <w:rPr>
                <w:rFonts w:ascii="Arial" w:hAnsi="Arial" w:cs="Arial"/>
                <w:sz w:val="18"/>
              </w:rPr>
            </w:pPr>
            <w:r w:rsidRPr="00D63972">
              <w:rPr>
                <w:rFonts w:ascii="Arial" w:hAnsi="Arial" w:cs="Arial"/>
                <w:sz w:val="18"/>
              </w:rPr>
              <w:t>Hasta el 35% de la inversión total, sin rebasar $15</w:t>
            </w:r>
            <w:r>
              <w:rPr>
                <w:rFonts w:ascii="Arial" w:hAnsi="Arial" w:cs="Arial"/>
                <w:sz w:val="18"/>
              </w:rPr>
              <w:t xml:space="preserve">,000,000.00 (Quince millones de </w:t>
            </w:r>
            <w:r w:rsidRPr="00D63972">
              <w:rPr>
                <w:rFonts w:ascii="Arial" w:hAnsi="Arial" w:cs="Arial"/>
                <w:sz w:val="18"/>
              </w:rPr>
              <w:t>pesos 00/100 M.N.) por proyecto.</w:t>
            </w:r>
          </w:p>
          <w:p w:rsidR="00145E62" w:rsidRPr="00A061C9" w:rsidRDefault="00D63972" w:rsidP="00D63972">
            <w:pPr>
              <w:jc w:val="both"/>
              <w:rPr>
                <w:rFonts w:ascii="Arial" w:hAnsi="Arial" w:cs="Arial"/>
                <w:sz w:val="18"/>
              </w:rPr>
            </w:pPr>
            <w:r w:rsidRPr="00D63972">
              <w:rPr>
                <w:rFonts w:ascii="Arial" w:hAnsi="Arial" w:cs="Arial"/>
                <w:sz w:val="18"/>
              </w:rPr>
              <w:t>Para la Población Objetivo Prioritaria, los por</w:t>
            </w:r>
            <w:r>
              <w:rPr>
                <w:rFonts w:ascii="Arial" w:hAnsi="Arial" w:cs="Arial"/>
                <w:sz w:val="18"/>
              </w:rPr>
              <w:t xml:space="preserve">centajes y montos máximos serán </w:t>
            </w:r>
            <w:r w:rsidRPr="00D63972">
              <w:rPr>
                <w:rFonts w:ascii="Arial" w:hAnsi="Arial" w:cs="Arial"/>
                <w:sz w:val="18"/>
              </w:rPr>
              <w:t xml:space="preserve">hasta del 70% de la inversión total, sin rebasar $15,000,000.00 (Quince </w:t>
            </w:r>
            <w:r>
              <w:rPr>
                <w:rFonts w:ascii="Arial" w:hAnsi="Arial" w:cs="Arial"/>
                <w:sz w:val="18"/>
              </w:rPr>
              <w:t xml:space="preserve">millones </w:t>
            </w:r>
            <w:r w:rsidRPr="00D63972"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>p</w:t>
            </w:r>
            <w:r w:rsidRPr="00D63972">
              <w:rPr>
                <w:rFonts w:ascii="Arial" w:hAnsi="Arial" w:cs="Arial"/>
                <w:sz w:val="18"/>
              </w:rPr>
              <w:t xml:space="preserve">esos 00/100 M.N. </w:t>
            </w:r>
            <w:r>
              <w:rPr>
                <w:rFonts w:ascii="Arial" w:hAnsi="Arial" w:cs="Arial"/>
                <w:sz w:val="18"/>
              </w:rPr>
              <w:t>por proyecto.</w:t>
            </w:r>
            <w:r w:rsidRPr="00D63972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:rsidR="00145E62" w:rsidRDefault="00145E62" w:rsidP="00145E62">
      <w:pPr>
        <w:ind w:firstLine="708"/>
        <w:jc w:val="both"/>
        <w:rPr>
          <w:rFonts w:ascii="Arial" w:hAnsi="Arial" w:cs="Arial"/>
          <w:sz w:val="18"/>
        </w:rPr>
      </w:pPr>
    </w:p>
    <w:p w:rsidR="00D63972" w:rsidRDefault="00D63972" w:rsidP="00D63972">
      <w:pPr>
        <w:spacing w:after="0"/>
        <w:ind w:left="708"/>
        <w:jc w:val="both"/>
        <w:rPr>
          <w:rFonts w:ascii="Arial" w:hAnsi="Arial" w:cs="Arial"/>
          <w:sz w:val="18"/>
        </w:rPr>
      </w:pPr>
      <w:r w:rsidRPr="00D63972">
        <w:rPr>
          <w:rFonts w:ascii="Arial" w:hAnsi="Arial" w:cs="Arial"/>
          <w:sz w:val="18"/>
        </w:rPr>
        <w:t xml:space="preserve">5.7.5 El monto máximo del incentivo por persona física o por socio, </w:t>
      </w:r>
      <w:r>
        <w:rPr>
          <w:rFonts w:ascii="Arial" w:hAnsi="Arial" w:cs="Arial"/>
          <w:sz w:val="18"/>
        </w:rPr>
        <w:t>en caso de persona moral, es de $</w:t>
      </w:r>
      <w:r w:rsidRPr="00D63972">
        <w:rPr>
          <w:rFonts w:ascii="Arial" w:hAnsi="Arial" w:cs="Arial"/>
          <w:sz w:val="18"/>
        </w:rPr>
        <w:t>800,000.00 (Ochocientos mil pesos 00/100 M.N.) por proyecto.</w:t>
      </w:r>
    </w:p>
    <w:p w:rsidR="00D63972" w:rsidRPr="00D63972" w:rsidRDefault="00D63972" w:rsidP="00D63972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D63972" w:rsidRPr="00D63972" w:rsidRDefault="00D63972" w:rsidP="00D63972">
      <w:pPr>
        <w:spacing w:after="0"/>
        <w:ind w:left="708"/>
        <w:jc w:val="both"/>
        <w:rPr>
          <w:rFonts w:ascii="Arial" w:hAnsi="Arial" w:cs="Arial"/>
          <w:sz w:val="18"/>
        </w:rPr>
      </w:pPr>
      <w:r w:rsidRPr="00D63972">
        <w:rPr>
          <w:rFonts w:ascii="Arial" w:hAnsi="Arial" w:cs="Arial"/>
          <w:sz w:val="18"/>
        </w:rPr>
        <w:t>5.7.6 Dentro de un mismo año, podrá darse sólo una autorización y entrega de recursos a una misma</w:t>
      </w:r>
    </w:p>
    <w:p w:rsidR="00D63972" w:rsidRDefault="00D63972" w:rsidP="00D63972">
      <w:pPr>
        <w:spacing w:after="0"/>
        <w:ind w:left="708"/>
        <w:jc w:val="both"/>
        <w:rPr>
          <w:rFonts w:ascii="Arial" w:hAnsi="Arial" w:cs="Arial"/>
          <w:sz w:val="18"/>
        </w:rPr>
      </w:pPr>
      <w:r w:rsidRPr="00D63972">
        <w:rPr>
          <w:rFonts w:ascii="Arial" w:hAnsi="Arial" w:cs="Arial"/>
          <w:sz w:val="18"/>
        </w:rPr>
        <w:t>persona. No será elegible la persona física o moral que sol</w:t>
      </w:r>
      <w:r>
        <w:rPr>
          <w:rFonts w:ascii="Arial" w:hAnsi="Arial" w:cs="Arial"/>
          <w:sz w:val="18"/>
        </w:rPr>
        <w:t xml:space="preserve">icite para sí los incentivos de </w:t>
      </w:r>
      <w:r w:rsidRPr="00D63972">
        <w:rPr>
          <w:rFonts w:ascii="Arial" w:hAnsi="Arial" w:cs="Arial"/>
          <w:sz w:val="18"/>
        </w:rPr>
        <w:t>cualquiera de los conceptos de incentivo del Subcomponent</w:t>
      </w:r>
      <w:r>
        <w:rPr>
          <w:rFonts w:ascii="Arial" w:hAnsi="Arial" w:cs="Arial"/>
          <w:sz w:val="18"/>
        </w:rPr>
        <w:t xml:space="preserve">e, si además es socio de alguna </w:t>
      </w:r>
      <w:r w:rsidRPr="00D63972">
        <w:rPr>
          <w:rFonts w:ascii="Arial" w:hAnsi="Arial" w:cs="Arial"/>
          <w:sz w:val="18"/>
        </w:rPr>
        <w:t>persona moral, a la que se le haya autorizado incentivos en el mi</w:t>
      </w:r>
      <w:r>
        <w:rPr>
          <w:rFonts w:ascii="Arial" w:hAnsi="Arial" w:cs="Arial"/>
          <w:sz w:val="18"/>
        </w:rPr>
        <w:t xml:space="preserve">smo ejercicio fiscal, salvo que </w:t>
      </w:r>
      <w:r w:rsidRPr="00D63972">
        <w:rPr>
          <w:rFonts w:ascii="Arial" w:hAnsi="Arial" w:cs="Arial"/>
          <w:sz w:val="18"/>
        </w:rPr>
        <w:t>dicha persona moral o socio de la misma, sea beneficiaria d</w:t>
      </w:r>
      <w:r>
        <w:rPr>
          <w:rFonts w:ascii="Arial" w:hAnsi="Arial" w:cs="Arial"/>
          <w:sz w:val="18"/>
        </w:rPr>
        <w:t xml:space="preserve">el incentivo de Infraestructura </w:t>
      </w:r>
      <w:r w:rsidRPr="00D63972">
        <w:rPr>
          <w:rFonts w:ascii="Arial" w:hAnsi="Arial" w:cs="Arial"/>
          <w:sz w:val="18"/>
        </w:rPr>
        <w:t xml:space="preserve">básica para </w:t>
      </w:r>
      <w:proofErr w:type="spellStart"/>
      <w:r w:rsidRPr="00D63972">
        <w:rPr>
          <w:rFonts w:ascii="Arial" w:hAnsi="Arial" w:cs="Arial"/>
          <w:sz w:val="18"/>
        </w:rPr>
        <w:t>Agroparques</w:t>
      </w:r>
      <w:proofErr w:type="spellEnd"/>
      <w:r w:rsidRPr="00D63972">
        <w:rPr>
          <w:rFonts w:ascii="Arial" w:hAnsi="Arial" w:cs="Arial"/>
          <w:sz w:val="18"/>
        </w:rPr>
        <w:t xml:space="preserve"> y la solicitud presentada sea para un concepto de incentivo distinto.</w:t>
      </w:r>
    </w:p>
    <w:p w:rsidR="00D63972" w:rsidRPr="00D63972" w:rsidRDefault="00D63972" w:rsidP="00D63972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D63972" w:rsidRDefault="00D63972" w:rsidP="00D63972">
      <w:pPr>
        <w:spacing w:after="0"/>
        <w:ind w:left="708"/>
        <w:jc w:val="both"/>
        <w:rPr>
          <w:rFonts w:ascii="Arial" w:hAnsi="Arial" w:cs="Arial"/>
          <w:sz w:val="18"/>
        </w:rPr>
      </w:pPr>
      <w:r w:rsidRPr="00D63972">
        <w:rPr>
          <w:rFonts w:ascii="Arial" w:hAnsi="Arial" w:cs="Arial"/>
          <w:sz w:val="18"/>
        </w:rPr>
        <w:t>5.7.7 Se podrán considerar las inversiones preexistentes, para suma</w:t>
      </w:r>
      <w:r>
        <w:rPr>
          <w:rFonts w:ascii="Arial" w:hAnsi="Arial" w:cs="Arial"/>
          <w:sz w:val="18"/>
        </w:rPr>
        <w:t xml:space="preserve">rse a la contraparte; siempre y </w:t>
      </w:r>
      <w:r w:rsidRPr="00D63972">
        <w:rPr>
          <w:rFonts w:ascii="Arial" w:hAnsi="Arial" w:cs="Arial"/>
          <w:sz w:val="18"/>
        </w:rPr>
        <w:t>cuando, se trate de infraestructura y/o equipamiento que forme p</w:t>
      </w:r>
      <w:r>
        <w:rPr>
          <w:rFonts w:ascii="Arial" w:hAnsi="Arial" w:cs="Arial"/>
          <w:sz w:val="18"/>
        </w:rPr>
        <w:t xml:space="preserve">arte del proceso en el proyecto </w:t>
      </w:r>
      <w:r w:rsidRPr="00D63972">
        <w:rPr>
          <w:rFonts w:ascii="Arial" w:hAnsi="Arial" w:cs="Arial"/>
          <w:sz w:val="18"/>
        </w:rPr>
        <w:t>de inversión señalado en la solicitud de incentivo y que sea propie</w:t>
      </w:r>
      <w:r>
        <w:rPr>
          <w:rFonts w:ascii="Arial" w:hAnsi="Arial" w:cs="Arial"/>
          <w:sz w:val="18"/>
        </w:rPr>
        <w:t xml:space="preserve">dad del peticionario. El valor </w:t>
      </w:r>
      <w:r w:rsidRPr="00D63972">
        <w:rPr>
          <w:rFonts w:ascii="Arial" w:hAnsi="Arial" w:cs="Arial"/>
          <w:sz w:val="18"/>
        </w:rPr>
        <w:t>de esos bienes deberá demostrarse mediante avalúo emit</w:t>
      </w:r>
      <w:r>
        <w:rPr>
          <w:rFonts w:ascii="Arial" w:hAnsi="Arial" w:cs="Arial"/>
          <w:sz w:val="18"/>
        </w:rPr>
        <w:t xml:space="preserve">ido por perito certificado, que </w:t>
      </w:r>
      <w:r w:rsidRPr="00D63972">
        <w:rPr>
          <w:rFonts w:ascii="Arial" w:hAnsi="Arial" w:cs="Arial"/>
          <w:sz w:val="18"/>
        </w:rPr>
        <w:t>demuestre el valor presente o, en su caso, mediante comprob</w:t>
      </w:r>
      <w:r>
        <w:rPr>
          <w:rFonts w:ascii="Arial" w:hAnsi="Arial" w:cs="Arial"/>
          <w:sz w:val="18"/>
        </w:rPr>
        <w:t xml:space="preserve">ante fiscal cuya emisión no sea </w:t>
      </w:r>
      <w:r w:rsidRPr="00D63972">
        <w:rPr>
          <w:rFonts w:ascii="Arial" w:hAnsi="Arial" w:cs="Arial"/>
          <w:sz w:val="18"/>
        </w:rPr>
        <w:t xml:space="preserve">mayor a tres años contados a la apertura de la ventanilla. Del </w:t>
      </w:r>
      <w:r>
        <w:rPr>
          <w:rFonts w:ascii="Arial" w:hAnsi="Arial" w:cs="Arial"/>
          <w:sz w:val="18"/>
        </w:rPr>
        <w:t xml:space="preserve">valor que arroje el avalúo o el </w:t>
      </w:r>
      <w:r w:rsidRPr="00D63972">
        <w:rPr>
          <w:rFonts w:ascii="Arial" w:hAnsi="Arial" w:cs="Arial"/>
          <w:sz w:val="18"/>
        </w:rPr>
        <w:t>comprobante fiscal, se tomará en cuenta hasta el 80% del valor</w:t>
      </w:r>
      <w:r>
        <w:rPr>
          <w:rFonts w:ascii="Arial" w:hAnsi="Arial" w:cs="Arial"/>
          <w:sz w:val="18"/>
        </w:rPr>
        <w:t xml:space="preserve"> de esos bienes. Si se trata de </w:t>
      </w:r>
      <w:r w:rsidRPr="00D63972">
        <w:rPr>
          <w:rFonts w:ascii="Arial" w:hAnsi="Arial" w:cs="Arial"/>
          <w:sz w:val="18"/>
        </w:rPr>
        <w:t>infraestructura, deberá tener una vida útil de al menos 5 años</w:t>
      </w:r>
      <w:r>
        <w:rPr>
          <w:rFonts w:ascii="Arial" w:hAnsi="Arial" w:cs="Arial"/>
          <w:sz w:val="18"/>
        </w:rPr>
        <w:t xml:space="preserve"> y deberá estar precisado en el </w:t>
      </w:r>
      <w:r w:rsidRPr="00D63972">
        <w:rPr>
          <w:rFonts w:ascii="Arial" w:hAnsi="Arial" w:cs="Arial"/>
          <w:sz w:val="18"/>
        </w:rPr>
        <w:t>avalúo.</w:t>
      </w:r>
    </w:p>
    <w:p w:rsidR="00D63972" w:rsidRPr="00D63972" w:rsidRDefault="00D63972" w:rsidP="00D63972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1D243D" w:rsidRDefault="00D63972" w:rsidP="00D63972">
      <w:pPr>
        <w:spacing w:after="0"/>
        <w:ind w:left="708"/>
        <w:jc w:val="both"/>
        <w:rPr>
          <w:rFonts w:ascii="Arial" w:hAnsi="Arial" w:cs="Arial"/>
          <w:sz w:val="18"/>
        </w:rPr>
      </w:pPr>
      <w:r w:rsidRPr="00D63972">
        <w:rPr>
          <w:rFonts w:ascii="Arial" w:hAnsi="Arial" w:cs="Arial"/>
          <w:sz w:val="18"/>
        </w:rPr>
        <w:t>5.7.8 La opinión favorable sobre la viabilidad del proyecto, sustent</w:t>
      </w:r>
      <w:r>
        <w:rPr>
          <w:rFonts w:ascii="Arial" w:hAnsi="Arial" w:cs="Arial"/>
          <w:sz w:val="18"/>
        </w:rPr>
        <w:t xml:space="preserve">ada en la evaluación normativa, </w:t>
      </w:r>
      <w:r w:rsidRPr="00D63972">
        <w:rPr>
          <w:rFonts w:ascii="Arial" w:hAnsi="Arial" w:cs="Arial"/>
          <w:sz w:val="18"/>
        </w:rPr>
        <w:t xml:space="preserve">técnica y financiera del Proyecto, no implica la aprobación del </w:t>
      </w:r>
      <w:r>
        <w:rPr>
          <w:rFonts w:ascii="Arial" w:hAnsi="Arial" w:cs="Arial"/>
          <w:sz w:val="18"/>
        </w:rPr>
        <w:t xml:space="preserve">incentivo solicitado y no tiene </w:t>
      </w:r>
      <w:r w:rsidRPr="00D63972">
        <w:rPr>
          <w:rFonts w:ascii="Arial" w:hAnsi="Arial" w:cs="Arial"/>
          <w:sz w:val="18"/>
        </w:rPr>
        <w:t xml:space="preserve">calificación para su priorización. </w:t>
      </w:r>
      <w:r w:rsidRPr="00D63972">
        <w:rPr>
          <w:rFonts w:ascii="Arial" w:hAnsi="Arial" w:cs="Arial"/>
          <w:sz w:val="18"/>
        </w:rPr>
        <w:cr/>
      </w:r>
    </w:p>
    <w:p w:rsidR="0067109D" w:rsidRDefault="0067109D" w:rsidP="0067109D">
      <w:pPr>
        <w:spacing w:after="0"/>
        <w:ind w:left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5.7.9 </w:t>
      </w:r>
      <w:r w:rsidRPr="0067109D">
        <w:rPr>
          <w:rFonts w:ascii="Arial" w:hAnsi="Arial" w:cs="Arial"/>
          <w:sz w:val="18"/>
        </w:rPr>
        <w:t xml:space="preserve">La Agencia calificará los proyectos que hayan obtenido una </w:t>
      </w:r>
      <w:r>
        <w:rPr>
          <w:rFonts w:ascii="Arial" w:hAnsi="Arial" w:cs="Arial"/>
          <w:sz w:val="18"/>
        </w:rPr>
        <w:t xml:space="preserve">evaluación normativa, técnica y </w:t>
      </w:r>
      <w:r w:rsidRPr="0067109D">
        <w:rPr>
          <w:rFonts w:ascii="Arial" w:hAnsi="Arial" w:cs="Arial"/>
          <w:sz w:val="18"/>
        </w:rPr>
        <w:t>financiera favorable, utilizando el tabulador correspondiente pr</w:t>
      </w:r>
      <w:r>
        <w:rPr>
          <w:rFonts w:ascii="Arial" w:hAnsi="Arial" w:cs="Arial"/>
          <w:sz w:val="18"/>
        </w:rPr>
        <w:t xml:space="preserve">evisto en el Artículo 18 de las </w:t>
      </w:r>
      <w:r w:rsidRPr="0067109D">
        <w:rPr>
          <w:rFonts w:ascii="Arial" w:hAnsi="Arial" w:cs="Arial"/>
          <w:sz w:val="18"/>
        </w:rPr>
        <w:t>Reglas de Operación. Para priorizar los proyectos, se considerará la calificación de dicha</w:t>
      </w:r>
      <w:r>
        <w:rPr>
          <w:rFonts w:ascii="Arial" w:hAnsi="Arial" w:cs="Arial"/>
          <w:sz w:val="18"/>
        </w:rPr>
        <w:t xml:space="preserve"> </w:t>
      </w:r>
      <w:r w:rsidRPr="0067109D">
        <w:rPr>
          <w:rFonts w:ascii="Arial" w:hAnsi="Arial" w:cs="Arial"/>
          <w:sz w:val="18"/>
        </w:rPr>
        <w:t>cédula y la opinión del Grupo Técnico Nacional, quien tien</w:t>
      </w:r>
      <w:r>
        <w:rPr>
          <w:rFonts w:ascii="Arial" w:hAnsi="Arial" w:cs="Arial"/>
          <w:sz w:val="18"/>
        </w:rPr>
        <w:t xml:space="preserve">e la facultad de asignar el 20% </w:t>
      </w:r>
      <w:r w:rsidRPr="0067109D">
        <w:rPr>
          <w:rFonts w:ascii="Arial" w:hAnsi="Arial" w:cs="Arial"/>
          <w:sz w:val="18"/>
        </w:rPr>
        <w:t>adicional de la calificación total.</w:t>
      </w:r>
    </w:p>
    <w:p w:rsidR="0067109D" w:rsidRDefault="0067109D" w:rsidP="0067109D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67109D" w:rsidRDefault="0067109D" w:rsidP="0067109D">
      <w:pPr>
        <w:spacing w:after="0"/>
        <w:ind w:left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5.7.10 </w:t>
      </w:r>
      <w:r w:rsidRPr="0067109D">
        <w:rPr>
          <w:rFonts w:ascii="Arial" w:hAnsi="Arial" w:cs="Arial"/>
          <w:sz w:val="18"/>
        </w:rPr>
        <w:t xml:space="preserve">Antes de firmar el Convenio de Concertación, el beneficiario deberá acreditar que la </w:t>
      </w:r>
      <w:r>
        <w:rPr>
          <w:rFonts w:ascii="Arial" w:hAnsi="Arial" w:cs="Arial"/>
          <w:sz w:val="18"/>
        </w:rPr>
        <w:t xml:space="preserve">propiedad </w:t>
      </w:r>
      <w:r w:rsidRPr="0067109D">
        <w:rPr>
          <w:rFonts w:ascii="Arial" w:hAnsi="Arial" w:cs="Arial"/>
          <w:sz w:val="18"/>
        </w:rPr>
        <w:t>o posesión del predio donde se instalará el proyecto, ha sido r</w:t>
      </w:r>
      <w:r>
        <w:rPr>
          <w:rFonts w:ascii="Arial" w:hAnsi="Arial" w:cs="Arial"/>
          <w:sz w:val="18"/>
        </w:rPr>
        <w:t xml:space="preserve">egistrada conforme lo señale la </w:t>
      </w:r>
      <w:r w:rsidRPr="0067109D">
        <w:rPr>
          <w:rFonts w:ascii="Arial" w:hAnsi="Arial" w:cs="Arial"/>
          <w:sz w:val="18"/>
        </w:rPr>
        <w:t>Ley del lugar; en caso de que proceda algún registro según la Ley del lu</w:t>
      </w:r>
      <w:r>
        <w:rPr>
          <w:rFonts w:ascii="Arial" w:hAnsi="Arial" w:cs="Arial"/>
          <w:sz w:val="18"/>
        </w:rPr>
        <w:t xml:space="preserve">gar; de no acreditarlo, </w:t>
      </w:r>
      <w:r w:rsidRPr="0067109D">
        <w:rPr>
          <w:rFonts w:ascii="Arial" w:hAnsi="Arial" w:cs="Arial"/>
          <w:sz w:val="18"/>
        </w:rPr>
        <w:t>se le tendrá por desistido del incentivo autorizado, sin que</w:t>
      </w:r>
      <w:r>
        <w:rPr>
          <w:rFonts w:ascii="Arial" w:hAnsi="Arial" w:cs="Arial"/>
          <w:sz w:val="18"/>
        </w:rPr>
        <w:t xml:space="preserve"> para tal efecto se requiera su consentimi</w:t>
      </w:r>
      <w:r w:rsidRPr="0067109D">
        <w:rPr>
          <w:rFonts w:ascii="Arial" w:hAnsi="Arial" w:cs="Arial"/>
          <w:sz w:val="18"/>
        </w:rPr>
        <w:t>ento expreso mediante escrito.</w:t>
      </w:r>
    </w:p>
    <w:p w:rsidR="0067109D" w:rsidRPr="0067109D" w:rsidRDefault="0067109D" w:rsidP="0067109D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67109D" w:rsidRDefault="0067109D" w:rsidP="0067109D">
      <w:pPr>
        <w:spacing w:after="0"/>
        <w:ind w:left="708"/>
        <w:jc w:val="both"/>
        <w:rPr>
          <w:rFonts w:ascii="Arial" w:hAnsi="Arial" w:cs="Arial"/>
          <w:sz w:val="18"/>
        </w:rPr>
      </w:pPr>
      <w:r w:rsidRPr="0067109D">
        <w:rPr>
          <w:rFonts w:ascii="Arial" w:hAnsi="Arial" w:cs="Arial"/>
          <w:sz w:val="18"/>
        </w:rPr>
        <w:t>5.7.11 El beneficiario deberá entregar el(los) documento(s) que</w:t>
      </w:r>
      <w:r>
        <w:rPr>
          <w:rFonts w:ascii="Arial" w:hAnsi="Arial" w:cs="Arial"/>
          <w:sz w:val="18"/>
        </w:rPr>
        <w:t xml:space="preserve"> acredite(n) la totalidad de la </w:t>
      </w:r>
      <w:r w:rsidRPr="0067109D">
        <w:rPr>
          <w:rFonts w:ascii="Arial" w:hAnsi="Arial" w:cs="Arial"/>
          <w:sz w:val="18"/>
        </w:rPr>
        <w:t>contraparte dentro de los 30 días hábiles posteriores a la firma del Convenio de Concertación.</w:t>
      </w:r>
    </w:p>
    <w:p w:rsidR="0067109D" w:rsidRPr="0067109D" w:rsidRDefault="0067109D" w:rsidP="0067109D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67109D" w:rsidRPr="0067109D" w:rsidRDefault="0067109D" w:rsidP="0067109D">
      <w:pPr>
        <w:spacing w:after="0"/>
        <w:ind w:left="708"/>
        <w:jc w:val="both"/>
        <w:rPr>
          <w:rFonts w:ascii="Arial" w:hAnsi="Arial" w:cs="Arial"/>
          <w:sz w:val="18"/>
        </w:rPr>
      </w:pPr>
      <w:r w:rsidRPr="0067109D">
        <w:rPr>
          <w:rFonts w:ascii="Arial" w:hAnsi="Arial" w:cs="Arial"/>
          <w:sz w:val="18"/>
        </w:rPr>
        <w:t xml:space="preserve">5.7.12 Este incentivo se tramitará conforme a lo establecido en el procedimiento de Ministración Única. </w:t>
      </w:r>
      <w:r w:rsidRPr="0067109D">
        <w:rPr>
          <w:rFonts w:ascii="Arial" w:hAnsi="Arial" w:cs="Arial"/>
          <w:sz w:val="18"/>
        </w:rPr>
        <w:cr/>
      </w:r>
    </w:p>
    <w:sectPr w:rsidR="0067109D" w:rsidRPr="006710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62"/>
    <w:rsid w:val="000E54A4"/>
    <w:rsid w:val="00145E62"/>
    <w:rsid w:val="002A59A9"/>
    <w:rsid w:val="006118D8"/>
    <w:rsid w:val="0067109D"/>
    <w:rsid w:val="00C108E8"/>
    <w:rsid w:val="00C24230"/>
    <w:rsid w:val="00D6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1E72"/>
  <w15:chartTrackingRefBased/>
  <w15:docId w15:val="{C50738C6-A510-4593-8FF2-2A16C7CC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E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2</cp:revision>
  <dcterms:created xsi:type="dcterms:W3CDTF">2018-09-05T19:02:00Z</dcterms:created>
  <dcterms:modified xsi:type="dcterms:W3CDTF">2018-09-05T21:47:00Z</dcterms:modified>
</cp:coreProperties>
</file>