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E3" w:rsidRPr="009E32E3" w:rsidRDefault="009E32E3" w:rsidP="009E32E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Disposiciones Generales</w:t>
      </w:r>
    </w:p>
    <w:p w:rsidR="009E32E3" w:rsidRPr="009E32E3" w:rsidRDefault="009E32E3" w:rsidP="009E32E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I</w:t>
      </w:r>
    </w:p>
    <w:p w:rsidR="00417EC0" w:rsidRPr="009E32E3" w:rsidRDefault="009E32E3" w:rsidP="009E32E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 Objeto del Programa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1.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El presente Acuerdo tiene por objeto establecer las Reglas de Operación para la aplicación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del Programa de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Fomento Ganadero y sus Componentes: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Capitalización Productiva Pecuaria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Infraestructura, Maquinaria y Equipo para la Transformación de Productos.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Perforación de Pozos Pecuarios.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Repoblamiento y Rescate.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Infraestructura y Equipo en las UPP.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Estrategias Integrales para la Cadena Productiva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Incentivos a la Postproducción Pecuaria.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Recría Pecuaria.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Reproducción y Material Genético Pecuario.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Manejo de Ganado.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e) Ganado Alimentario.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f) Sistemas Producto Pecuarios.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Investigación, Innovación y Desarrollo Tecnológico Pecuarios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Investigación, Innovación y Desarrollo Tecnológico Pecuarios.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b) Recursos </w:t>
      </w:r>
      <w:proofErr w:type="spell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Zoogenéticos</w:t>
      </w:r>
      <w:proofErr w:type="spell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Pecuarios.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PROGAN Productivo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 Sustentabilidad Pecuaria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Bioseguridad Pecuaria.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Mantenimiento y Reconversión de Praderas y Agostaderos.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Programa y sus Componentes incluidos en las presentes Reglas de Operación están sujet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os al presupuesto autorizado en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Decreto de Presupuesto de Egresos de la Federación para el año fiscal 2017, publicado en el Diario Oficial de la Federación el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 de noviembre de 2016, y se sumarán a la perspectiva transversal del Programa Especial Concurrente para el Desarrollo Rural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Sustentable, con el fin de impulsar la productividad en el sector agroalimentario, observando las prioridades que establece el Plan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Nacional de Desarrollo 2013-2018, publicado en el Diario Oficial de la Fe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deración el 20 de mayo de 2013.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interpretación técnica y operativa de las disposiciones contenidas en el presente Acuerdo, así como la resolución de los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asuntos no previstos en estas Reglas de Operación, serán facultad de la Secretaría a través de la Unidad Responsable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correspondiente, en los términos de las disposiciones aplicables en la materia, sin perjuicio de las facultades de la Oficina del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Abogado General. Dicha interpretación se resolverá siempre bajo el principio de mayor beneficio para los solicitantes y se tomará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como criteri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o general para casos similares.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Serán aplicables al Programa, en lo conducente, las disposiciones contenidas en el Acuerdo por el que se dan a conocer las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Disposiciones Generales Aplicables a las Reglas de Operación de los Programas de la Secretaría de Agricultura, Ganadería,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Desarrollo Rural, Pesca y Alimentación, para el ejercicio fiscal 2017 que al efecto emita el titular de la Secretaría.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papelería, documentación oficial, así como la publicidad y promoción de los Programas y Componentes, deberán incluir el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logotipo de la Sec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retaría y la siguiente leyenda: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"Este programa es público, ajeno a cualquier partido político. Queda prohibido el uso para fines distintos a los establecidos en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programa".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2.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El Objetivo general del Programa es contribuir a aumentar la productividad de la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s Unidades Económicas Pecuarias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mediante la inversión en el sector pecuario.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3.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Para efectos y aplicación del programa y componentes contenidos en las pr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esentes Reglas de Operación, se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entenderá por: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I. Actividad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ganadera.-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Conjunto de acciones para la explotación racional de es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pecies animales orientadas a la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producción de carne, leche, huevo, miel, piel, lana y otras de interés zootécnico,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 la finalidad de satisfacer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necesidades vitales o del desarrollo humano;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 xml:space="preserve">II.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Agostadero.-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Superficie que utilizan las unidades de producción pecuaria para pastoreo con vegetación nat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ural o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inducida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III. Bioseguridad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Las acciones y medidas de evaluación, monitoreo, co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ntrol y prevención que se deben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asumir en la realización de una actividad ganadera, con el objeto de prevenir, evitar o reducir los posibles riesgos que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dichas actividades pudieran ocasionar a la salud animal, al medio ambiente y la diversidad biológica;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IV. Certificación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Procedimiento por el cual se asegura que un producto pecuar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io, proceso, sistema o servicio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apega a las normas, lineamientos o recomendaciones de organismos dedicados a la normalización, ya sean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nacionales o internacionales;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V.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CONAPO.-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Consejo Nacional de Población.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VI.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CURP.-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Clave Única de Registro de Población, documento expedido por la Secretaría de Gobernación;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VII. Desarrollo Tecnológico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Proceso de cambio o transformación que resue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lve una problemática del sector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pecuario y, por consecuencia, mejora y hace más eficiente un proceso productivo;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VIII. Fedatario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Público.-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Persona investida de fe pública por el Estado a través de leyes, fe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derales, locales o municipales,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que tiene a su cargo recibir, interpretar, redactar, y dar forma legal a la voluntad de las personas que ante él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acuden, y conferir autenticidad y certeza jurídica a los actos y hechos pasados ante su fe, mediante, mediante la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consignación de los mismos en instrumentos públicos de su autoría;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IX.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Ganado.-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Conjunto de animales domésticos criados para la producción de alimentos 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y sus derivados para el consumo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humano;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X. Identificación Oficial.- Documento con el que una persona física puede acreditar su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identidad; para los efectos de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estas Reglas de Operación, los documentos aceptables son: la Credencial para Votar vigente, la Cartilla del Servicio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Militar Nacional, Cédula Profesional u otras Identificaciones Oficial vigente con fotografía y firma, expedidas por el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gobierno federal, estatal, municipal o de la Ciudad de México y/o cualquier otra identificación vigente con fotografía,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expedida por Autoridad Competente;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XI. Material Genético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Sementales, vientres, semen, embriones, de la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 distintas especies pecuarias,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incluyendo abejas reina progenitoras;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XII. Padrón Ganadero Nacional (PGN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Base de datos de las Unidades Económicas Pecuarias a nivel nacional;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XIII. Paquete Tecnológico Pecuario Conjunto de prácticas recomendadas que al 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estar validadas y acordes a las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condiciones del potencial productivo de cada zona; sistema; y especie producto permite disminuir los riesgos de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perdidas, con incrementos en los rendimientos unitarios y la disminución en los costos de producción;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XIV.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Todo lo relacionado con el ganado, por analogía actividad pecuaria se refiere a la actividad ganadera;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XV.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Postproducción.-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Actividad para generar, incrementar y modernizar la capac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idad del manejo de las unidades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económicas, mediante la inversión complementaria en equipamiento e infraestructura que permita la disminución de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mermas, agregación de valor, diversificación, acopio, procesamiento, empaque y/o distribución de los productos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pecuarios;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XVI.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Pradera.-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Superficie de vegetación inducida mediante siembra que es utilizada en 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la producción animal. Sembradas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generalmente con gramíneas o leguminosas y sus asociaciones;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XVII. Prestador de Servicios Ganaderos (PSG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Personas físicas o morales de carácter público o privado, 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prestan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servicios orientados al apoyo de la actividad ganadera como son rastros, centros de acopio, procesamiento y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distribución de leche; acopio y centros de acondicionamiento de ganado, engorda de ganado, corrales cuarentenarios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y, en general, prestadores de servicios para la integración de las cadenas de valor pecuarias;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XVIII. Producción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Productos obtenidos directamente de la actividad pecuaria, sin ninguna transformación;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XIX. Proyectos de Innovación y Transferencia de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Tecnología.-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Aquellos que garantiza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n un cambio sustantivo mediante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uso de nuevos insumos, maquinarias, equipos y en general cualquier tecnología incorporada a los procesos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productivos del sector agroalimentario;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XX.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SINIDA.-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Sistema Nacional de Identificación animal para bovinos y colmenas de acue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rdo a la Norma Oficial Mexicana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NOM-001-SAG/GAN-2015;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XXI. SI-PROGAN P.- Sistema informático de administración de información y resguardo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la base de datos del PROGAN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Productivo;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 xml:space="preserve">XXII. Sistema Producto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Pecuario.-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 conjunto de elementos y agentes concurrentes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los procesos productivos de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productos pecuarios, incluidos el abastecimiento de equipo técnico, insumos productivos, recursos financieros, la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producción primaria, acopio, transformación, distribución y comercialización;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XXIII. Unidad Animal (UA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Constituye una vaca adulta (vientre bovino) de 400 a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450 kg de peso, en gestación o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mantenimiento que para satisfacer sus necesidades alimenticias y cumplir con su función zootécnica, consume el 3%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su peso vivo de materia seca de forraje por día, y que se utiliza como base de equivalencia para referencia en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animales de diferentes edades y especies;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XXIV. Unidad de Producción Pecuaria (UPP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Superficie definida y delimitada en la que el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productor del sector primario,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efectúa la cría de ganado;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XXV. Unidad Económica Pecuaria (UEP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Personas físicas o morales dedicadas a l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a producción comercialización o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industrialización de productos pecuarios que se encuentren registradas en el PGN como Unidades de Producción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Pecuarias (UPP) o Prestadores de Servicios Ganaderos (PSG).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XXVI.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Ventanilla.-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Lugar donde se reciben las solicitudes para acceder a los incen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tivos de los programas y de sus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componentes, las cuales podrán ser Oficinas Centrales y Direcciones Regionales, las Delegaciones de la Secretaría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través de los DDR y CADER, así como otras instancias particulares o públicas que se establezcan con base en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convenios, cuyos domicilios y horarios de atención podrán ser consultados en la página electrónica de la Secretaría;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XXVII. </w:t>
      </w:r>
      <w:proofErr w:type="gramStart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Vientre.-</w:t>
      </w:r>
      <w:proofErr w:type="gramEnd"/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Hembras de las diferentes especies pecuarias en condición reproductiva.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II</w:t>
      </w:r>
    </w:p>
    <w:p w:rsidR="009E32E3" w:rsidRPr="009E32E3" w:rsidRDefault="009E32E3" w:rsidP="009E32E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Lineamientos Generales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4.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La población objetivo del Programa está compuesta por personas físicas y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personas morales dedicadas a la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producción, comercialización o industrialización de productos pecuarios que se encuentren registradas en el PGN.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5.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La cobertura del presente programa es Nacional de aplicación en los 31 Estados y en la Ciudad de México.</w:t>
      </w:r>
    </w:p>
    <w:p w:rsidR="009E32E3" w:rsidRPr="009E32E3" w:rsidRDefault="009E32E3" w:rsidP="009E32E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6. </w:t>
      </w:r>
      <w:r w:rsidRPr="009E32E3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Las instancias que participan en los Componentes son: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32E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Unidad Responsable: Coordinación General de Ganadería.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Agente técnico: Confederación Nacional de Organizaciones Ganaderas (CNOG), Grupo Ecológico Sierra Gorda I.A.P.,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 de Colegios y Asociaciones de Médicos Veterinarios Zootecnistas de México A.C. (</w:t>
      </w:r>
      <w:proofErr w:type="spell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FedMVZ</w:t>
      </w:r>
      <w:proofErr w:type="spell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), Consejo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enunciativas más no limitativas.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Instancias Ejecutoras: las Delegaciones Estatales de la Secretaría, así como los Fideicomi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sos Instituidos en Relación con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Agricultura (FIRA), el Fideicomiso de Riesgo Compartido (FIRCO), la Financiera Nacional de Desarrollo Agropecuario,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Rural, Forestal y Pesquero (FND), las cuales resultan enunciativas más no limitativas.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Artículo 7.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 población objetivo interesada en recibir apoyos de cualquiera de los componentes, deberá regist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rarse en el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Padrón de Solicitantes y Beneficiarios de la SAGARPA, cuya consulta permitirá evitar la duplicidad del pago de incentivos en éste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otros Programas de la SAGARPA; posteriormente deberá presentar su solicitud en las ventanillas en los plazos definidos para el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efecto, utilizando el Anexo II. Solicitud de Apoyo Programa de Fomento Ganadero, excepto el Componente PROGAN Productivo.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Serán elegibles para obtener los incentivos de los programas y sus componentes, los solicitantes que cumplan con lo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siguiente: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Presenten la solicitud de apoyo correspondiente, acompañada de los requisitos generale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 cuando éstos no se encuentren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el registro del SURI o en el expediente respectivo, así como de los requisitos específicos que correspondan al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componente y concepto de apoyo solicitado;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Estén al corriente en sus obligaciones ante la Secretaría, de acuerdo a lo dispuesto en el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Artículo 59 Fracción II de las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presentes Reglas.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No hayan recibido o estén recibiendo incentivos para el mismo concepto de alg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ún programa, componente u otros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programas de la Administración Pública Federal que impliquen duplicidad de apoyos, estímulos o subsidios conforme a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establecido en las presentes Reglas de Operación, salvo que se trate de proyectos por etapas. No se considera que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exista duplicidad cuando se trate de activos o superficies diferentes.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IV. Cumplan con los criterios y requisitos específicos establecidos en estas mismas Reglas 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 Operación para el componente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y/o proyecto estratégico correspondiente.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 Cumplan con las obligaciones fiscales que les correspondan, conforme a la normatividad aplicable.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 xml:space="preserve">VI. No estar incluidos en el "Directorio de personas físicas y/o morales que pierden su 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derecho de recibir incentivos o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entregar información que no sea verdadera ni fidedigna o que impida la verificación física o documental del producto o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servicio objeto del apoyo", a cargo de la Oficialía Mayor de la SAGARPA.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garantiza la participación de mujeres y hombres en igualdad de oportunidades, para su elegibilidad en la obtención de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incentivos.</w:t>
      </w:r>
    </w:p>
    <w:p w:rsidR="009E32E3" w:rsidRDefault="009E32E3" w:rsidP="009E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El trámite para la obtención de los apoyos de los componentes contemplados en estas Reglas de Operación, será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 gratuito para los solicitantes. </w:t>
      </w:r>
      <w:r>
        <w:rPr>
          <w:rFonts w:ascii="Arial" w:hAnsi="Arial" w:cs="Arial"/>
          <w:color w:val="2F2F2F"/>
          <w:sz w:val="18"/>
          <w:szCs w:val="18"/>
        </w:rPr>
        <w:t>Al solicitar los incentivos de cualquiera de los componentes, la firma de la solicitud respectiva im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plica que el solicitante acepta </w:t>
      </w:r>
      <w:r>
        <w:rPr>
          <w:rFonts w:ascii="Arial" w:hAnsi="Arial" w:cs="Arial"/>
          <w:color w:val="2F2F2F"/>
          <w:sz w:val="18"/>
          <w:szCs w:val="18"/>
        </w:rPr>
        <w:t>expresamente que la Unidad Responsable o la Instancia Ejecutora, le notifique cualquier comunicación, mediante mensajerí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a, </w:t>
      </w:r>
      <w:r>
        <w:rPr>
          <w:rFonts w:ascii="Arial" w:hAnsi="Arial" w:cs="Arial"/>
          <w:color w:val="2F2F2F"/>
          <w:sz w:val="18"/>
          <w:szCs w:val="18"/>
        </w:rPr>
        <w:t>comunicación electrónica o cualquier otro medio, conforme a lo dispuesto por el Artículo 35 fracció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n II, de la Ley Federal de Procedimiento </w:t>
      </w:r>
      <w:r>
        <w:rPr>
          <w:rFonts w:ascii="Arial" w:hAnsi="Arial" w:cs="Arial"/>
          <w:color w:val="2F2F2F"/>
          <w:sz w:val="18"/>
          <w:szCs w:val="18"/>
        </w:rPr>
        <w:t>Administrativo.</w:t>
      </w:r>
    </w:p>
    <w:p w:rsidR="009E32E3" w:rsidRDefault="009E32E3" w:rsidP="009E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De igual manera, la firma de la solicitud de apoyo respectiva implica que el solicitante acepta expresamente que la Secretarí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a </w:t>
      </w:r>
      <w:r>
        <w:rPr>
          <w:rFonts w:ascii="Arial" w:hAnsi="Arial" w:cs="Arial"/>
          <w:color w:val="2F2F2F"/>
          <w:sz w:val="18"/>
          <w:szCs w:val="18"/>
        </w:rPr>
        <w:t>podrá utilizar las imágenes y datos recabados, para el uso del propio Componente del cual recibió el estí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mulo. </w:t>
      </w:r>
      <w:r>
        <w:rPr>
          <w:rFonts w:ascii="Arial" w:hAnsi="Arial" w:cs="Arial"/>
          <w:color w:val="2F2F2F"/>
          <w:sz w:val="18"/>
          <w:szCs w:val="18"/>
        </w:rPr>
        <w:t xml:space="preserve">La simple presentación de la solicitud ante las ventanillas para el otorgamiento de apoyos, no 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crea derecho a obtener el apoyo </w:t>
      </w:r>
      <w:r>
        <w:rPr>
          <w:rFonts w:ascii="Arial" w:hAnsi="Arial" w:cs="Arial"/>
          <w:color w:val="2F2F2F"/>
          <w:sz w:val="18"/>
          <w:szCs w:val="18"/>
        </w:rPr>
        <w:t>solicitado; entregándole al solicitante un Acuse de Registro en el que se especifica la Clave de Re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gistro de la Solicitud, la cual </w:t>
      </w:r>
      <w:r>
        <w:rPr>
          <w:rFonts w:ascii="Arial" w:hAnsi="Arial" w:cs="Arial"/>
          <w:color w:val="2F2F2F"/>
          <w:sz w:val="18"/>
          <w:szCs w:val="18"/>
        </w:rPr>
        <w:t>constituye el medio de identificación para efectos del seguimiento de dicha solicitud.</w:t>
      </w:r>
    </w:p>
    <w:p w:rsidR="009E32E3" w:rsidRDefault="009E32E3" w:rsidP="009E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Del mismo modo, la firma de la solicitud de apoyo implica que acepta expresam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ente y se obliga a proporcionar </w:t>
      </w:r>
      <w:r>
        <w:rPr>
          <w:rFonts w:ascii="Arial" w:hAnsi="Arial" w:cs="Arial"/>
          <w:color w:val="2F2F2F"/>
          <w:sz w:val="18"/>
          <w:szCs w:val="18"/>
        </w:rPr>
        <w:t>a la Secretarí</w:t>
      </w:r>
      <w:r w:rsidR="00A417BB">
        <w:rPr>
          <w:rFonts w:ascii="Arial" w:hAnsi="Arial" w:cs="Arial"/>
          <w:color w:val="2F2F2F"/>
          <w:sz w:val="18"/>
          <w:szCs w:val="18"/>
        </w:rPr>
        <w:t xml:space="preserve">a, </w:t>
      </w:r>
      <w:r>
        <w:rPr>
          <w:rFonts w:ascii="Arial" w:hAnsi="Arial" w:cs="Arial"/>
          <w:color w:val="2F2F2F"/>
          <w:sz w:val="18"/>
          <w:szCs w:val="18"/>
        </w:rPr>
        <w:t>a través del Servicio de Información Agroalimentaria y Pesquera, información en materia agroalimentaria con fines estadísticos.</w:t>
      </w:r>
    </w:p>
    <w:p w:rsidR="00A417BB" w:rsidRDefault="00A417BB" w:rsidP="009E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8. </w:t>
      </w:r>
      <w:r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requisitos generales que aplicarán a todos y cada uno de los componen</w:t>
      </w:r>
      <w:r w:rsidR="00A417BB"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tes, salvo que el componente en </w:t>
      </w:r>
      <w:r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específico requiera de otros adicionales, o exceptúe alguno, son los siguientes y deberán presentarse en copia simple y original o</w:t>
      </w:r>
      <w:r w:rsidR="00A417BB"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copia certificada por un fedatario público o la autoridad municipal con fines de cotejo: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Personas físicas mayores de edad;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Identificación oficial vigente (Credencial para Votar, Pasaporte, Cartilla del Servicio Militar Nacional o Cédula Profesional);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CURP; en los casos en que presenten identificación oficial y la misma contenga la CU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RP, no será necesario presentar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ésta;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RFC, en su caso;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Comprobante de domicilio del solicitante (recibo de luz, teléfono, predial, agua, constanci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a de residencia expedida por el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ayuntamiento), con una vigencia no mayor a tres meses anteriores a la fecha de solicitud.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e) Documento que acredite su registro actualizado en el PGN.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En caso de que la persona física esté representada, el representante o apoderado lega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 deberá cumplir además con los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siguientes requisitos documentales (no aplica al Componente PROGAN Productivo):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Poder o carta poder firmados por el otorgante y ratificada ante Fedatario Público, para g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estionar los incentivos. Varias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personas físicas pueden designar, en un mismo instrumento, un representante común. La designación de un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representante o apoderado legal, no presumirá que éste adquiere la calidad de </w:t>
      </w: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participante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así como los derechos y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obligaciones que le correspondan a su(s) representado(s), por tanto, tampoco se presumirá la existencia de una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asociación ni copropiedad sobre derechos empresariales entre el solicitante y el representante o apoderado legal, salvo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se compruebe con el documento respectivo lo contrario.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Identificación oficial vigente (Credencial para Votar, Pasaporte, Cartilla del Servicio Militar Nacional o Cédula Profesional);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CURP, y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Comprobante de domicilio (Luz, teléfono, predial, agua), con una vigencia no mayor a tres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meses anteriores a la fecha de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solicitud.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Personas morales: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Acta constitutiva y, de las modificaciones a ésta y/o a sus estatutos, que en su caso haya tenido a la fecha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la solicitud,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debidamente protocolizada ante Fedatario Público;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b) Acta de asamblea en la que conste la designación de su representante legal o el 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poder que otorga las facultades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suficientes para realizar actos de administración o de dominio, debidamente protocolizado ante fedatario público;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c) Comprobante de domicilio fiscal (recibo de consumo de luz, teléfono, predial, agua; constancia de residencia expedida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el ayuntamiento), con una vigencia no mayor a tres meses anteriores a la fecha de solicitud;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RFC;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e) Identificación oficial del representante legal vigente (credencial para votar, pasaporte, cartilla 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del servicio militar nacional o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cédula profesional);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f) CURP del representante legal;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g) Listado de productores integrantes de la persona moral solicitante. (Anexo III); e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h) Documento que acredite su registro actualizado en el PGN.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los componentes señalados en las presentes Reglas de Operación, en su caso, les es aplicable el Anexo IX. Declaratoria en</w:t>
      </w: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materia de Seguridad Social.</w:t>
      </w:r>
    </w:p>
    <w:p w:rsidR="009E32E3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color w:val="2F2F2F"/>
          <w:sz w:val="18"/>
          <w:szCs w:val="18"/>
        </w:rPr>
      </w:pPr>
      <w:r w:rsidRPr="00A417B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</w:t>
      </w:r>
      <w:r>
        <w:rPr>
          <w:rFonts w:ascii="Arial" w:hAnsi="Arial" w:cs="Arial"/>
          <w:color w:val="2F2F2F"/>
          <w:sz w:val="18"/>
          <w:szCs w:val="18"/>
        </w:rPr>
        <w:t xml:space="preserve"> 9. Las fechas de apertura y cierre de ventanillas serán las siguientes.</w:t>
      </w:r>
    </w:p>
    <w:p w:rsidR="009E32E3" w:rsidRPr="009E32E3" w:rsidRDefault="009E32E3" w:rsidP="009E32E3">
      <w:pPr>
        <w:pStyle w:val="Prrafodelista"/>
        <w:numPr>
          <w:ilvl w:val="0"/>
          <w:numId w:val="1"/>
        </w:numPr>
        <w:rPr>
          <w:rFonts w:ascii="Arial" w:hAnsi="Arial" w:cs="Arial"/>
          <w:color w:val="2F2F2F"/>
          <w:sz w:val="18"/>
          <w:szCs w:val="18"/>
        </w:rPr>
      </w:pPr>
      <w:r w:rsidRPr="009E32E3">
        <w:rPr>
          <w:rFonts w:ascii="Arial" w:hAnsi="Arial" w:cs="Arial"/>
          <w:color w:val="2F2F2F"/>
          <w:sz w:val="18"/>
          <w:szCs w:val="18"/>
        </w:rPr>
        <w:t>Apertura: 16 de enero del 2017</w:t>
      </w:r>
    </w:p>
    <w:p w:rsidR="009E32E3" w:rsidRDefault="009E32E3" w:rsidP="009E3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10. </w:t>
      </w:r>
      <w:r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Para los componentes del presente Programa a los que le resulte aplicable,</w:t>
      </w:r>
      <w:r w:rsidR="00A417BB"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los solicitantes al momento de </w:t>
      </w:r>
      <w:r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solicitar el incentivo de su interés, deberán cumplir con las obligaciones en materia de seguridad</w:t>
      </w:r>
      <w:r w:rsidR="00A417BB"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social, de conformidad con los </w:t>
      </w:r>
      <w:r w:rsidRPr="00A417BB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siguientes supuestos:</w:t>
      </w:r>
    </w:p>
    <w:p w:rsidR="00A417BB" w:rsidRPr="00A417BB" w:rsidRDefault="00A417BB" w:rsidP="009E3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</w:p>
    <w:p w:rsidR="009E32E3" w:rsidRP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Cuando el monto del incentivo sea superior a los $30,000.00 (Treinta mil pesos 00/100 M.N.) y el soli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citante se encuentre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obligado a inscribirse ante el Instituto Mexicano del Seguro Social por tener trabajadores a su cargo, deberá presentar la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opinión de cumplimiento de obligaciones en materia de seguridad social, realizando el procedimiento señalado en la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Regla Quinta del Acuerdo ACDO.SA1.HCT.101214/281.P.DIR y su Anexo Único, dictado por el H. Consejo Técnico,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relativo a las Reglas para la obtención de la opinión de cumplimiento de obligaciones fiscales en materia de seguridad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social, publicado en el Diario Oficial de la Federación el 27 de febrero de 2015, para poder acceder al apoyo solicitado.</w:t>
      </w:r>
    </w:p>
    <w:p w:rsidR="00A417BB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Cuando el monto del incentivo sea superior a los $30,000.00 (treinta mil pesos 00/100 M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.N.), pero el solicitante no se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encuentre obligado a inscribirse ante el Instituto Mexicano del Seguro Social por no tener trabajadores a su cargo,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deberá manifestarlo bajo protesta de decir verdad mediante el Anexo IX. Declaratoria en Materia de Seguridad Social.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</w:p>
    <w:p w:rsidR="009E32E3" w:rsidRDefault="009E32E3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color w:val="2F2F2F"/>
          <w:sz w:val="18"/>
          <w:szCs w:val="18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exceptúa a los solicitantes de dar cumplimiento a las obligaciones antes señaladas, cuando el monto del incentivo sea de</w:t>
      </w:r>
      <w:r w:rsid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hAnsi="Arial" w:cs="Arial"/>
          <w:color w:val="2F2F2F"/>
          <w:sz w:val="18"/>
          <w:szCs w:val="18"/>
        </w:rPr>
        <w:t>$30,000.00 (treinta mil pesos 00/100 M.N.) o inferior.</w:t>
      </w:r>
    </w:p>
    <w:p w:rsid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color w:val="2F2F2F"/>
          <w:sz w:val="18"/>
          <w:szCs w:val="18"/>
        </w:rPr>
      </w:pPr>
    </w:p>
    <w:p w:rsidR="00A417BB" w:rsidRPr="00601499" w:rsidRDefault="00A417BB" w:rsidP="006014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6014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Disposiciones Complementarias</w:t>
      </w:r>
    </w:p>
    <w:p w:rsidR="00A417BB" w:rsidRPr="00601499" w:rsidRDefault="00A417BB" w:rsidP="006014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6014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I</w:t>
      </w:r>
    </w:p>
    <w:p w:rsidR="00A417BB" w:rsidRPr="00601499" w:rsidRDefault="00A417BB" w:rsidP="006014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6014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los Derechos, obligaciones y exclusiones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 59. Los que resulten beneficiarios, se sujetarán a los derechos y obligaciones siguientes: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Son derechos de los beneficiarios: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Recibir asesoría por parte de las unidades responsables, delegaciones, instancias ejecutoras o asesores técnicos que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funjan como ventanillas, respecto de los componentes y procedimientos para la solicitud de apoyos contenidos en estas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Reglas de Operación;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Adquirir en su caso, el bien o servicio con características de utilidad, calidad, precio con el proveedor que libremente elija,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en su caso, la capacitación (Proceso sistematizado que combina la detección de necesidades de las unidades de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producción pecuaria y el otorgamiento de conocimientos, para dar respuesta a la problemática que los productores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enfrentan) respectiva;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Interponer las quejas y denuncias en los términos establecidos en el Capítulo V de las presentes Reglas de Operación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 Programa de Fomento Ganadero para el ejercicio 2017;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Ejercer los medios de defensa contra los actos y resoluciones emitidos por la Unidad Responsable y/o Instancias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Ejecutoras en los términos de la Ley Federal de Procedimiento Administrativo;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e) Tratándose de persona física, poder nombrar en su solicitud de apoyo a un substituto, el cual deberá de ser otra persona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física, para que en caso de fallecimiento, y según el incentivo de que se trate, en función del avance alcanzado para el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trámite de la solicitud, pago de incentivos o de los beneficios de la cobertura, pueda continuar con la gestión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correspondiente; asumiendo el substituto el compromiso de cumplir las obligaciones contraídas por el beneficiario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substituido, hasta la total conclusión del proyecto, en términos de las presentes Reglas de Operación, dicho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apersonamiento en su momento lo deberá acreditar el substituto con el acta de defunción correspondiente. Este inciso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 aplica al PROGAN Productivo.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Son obligaciones de los beneficiarios: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Cumplir con los requisitos y las obligaciones establecidas en estas Reglas de Operación;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Registrarse en el Padrón de Solicitantes y Beneficiarios de la SAGARPA, en los mecanismos que para este efecto ponga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disposición la propia Secretaría, previo a la presentación de la solicitud de apoyo correspondiente;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Aplicar a los fines autorizados los incentivos o subsidios recibidos y conservar las facturas en los términos de la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legislación aplicable;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Aceptar, facilitar y atender en cualquier etapa del proceso para la entrega del apoyo, verificaciones, auditorías,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inspecciones y solicitudes de información por parte de la unidad responsable, las instancias ejecutoras, instancias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fiscalizadoras o de cualquier otra autoridad competente, con el fin de verificar la correcta aplicación de los recursos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otorgados; así como la supervisión de parte de las instancias de la Secretaría y las que ésta determine;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e) Solicitar autorización previa por escrito de la Instancia Ejecutora de cualquier cambio que implique modificaciones al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proyecto autorizado o a las condiciones de los incentivos directos o indirectos, quien lo resolverá dentro de los diez días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hábiles siguientes a la presentación de la solicitud, en caso contrario se informará que fue resuelto en sentido negativo;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f) Manifestar por escrito bajo protesta de decir verdad que la información y documentación que presenta, entrega e informa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 verdadera y fidedigna durante el proceso y comprobación del apoyo;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g) Cumplir con las obligaciones establecidas específicamente en cada componente de las presentes Reglas de Operación;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h) Para el pago de los incentivos vía depósito bancario el beneficiario deberá proporcionar copia del contrato de apertura de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cuenta bancaria productiva y/o estado de cuenta bancaria a su nombre, en la que se especifique la CLABE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interbancaria donde se depositará el incentivo; así mismo, mantener vigente la cuenta correspondiente. Cuando se trate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apoyos otorgados con base en un padrón, los productores se comprometen a realizar oportunamente los cambios que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permitan mantenerlo actualizado. En caso de pago al proveedor, el productor deberá proporcionar carta de instrucción 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favor del proveedor en escrito libre debidamente endosada firmada por el beneficiario donde se indique la razón social y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CLABE interbancaria de la cuenta de depósito; quedando obligado el proveedor a presentar constancia de que el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productor recibió el bien o servicio contratado;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i) En su caso, devolver en un plazo no mayor a 10 días hábiles, los depósitos bancarios derivados de los programas de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Secretaría efectuados por error en la cuenta del beneficiario, así como los que no le correspondan o los que excedan el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apoyo al que tiene derecho; una vez notificado por escrito por Unidad Responsable y/o Instancias Ejecutoras;</w:t>
      </w:r>
    </w:p>
    <w:p w:rsid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j) Suscribir los documentos jurídicos que determine la Unidad Responsable; el beneficiario que se abstenga de firmar el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Convenio de Concertación en la fecha o dentro del plazo establecido en la notificación respectiva, se le tendrá, por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desistido del apoyo autorizado, sin que para tal efecto se requiera su consentimiento expreso mediante escrito;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k) Manifestar por escrito, en su caso, no haber recibido o estar recibiendo incentivos de manera individual u organizada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el mismo concepto del programa, componente u otros programas de la Secretaría, que implique que se dupliquen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incentivos a la solicitud, salvo que se trate de proyectos por etapas;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l) Mantener actualizados los datos en el PGN, de acuerdo a lo establecido en los componentes;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m) Para los Componentes que aplique, presentar los documentos que avalan la recepción de los incentivos, (recibos o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facturas originales que cumplen con los requisitos fiscales presentados por los beneficiarios y/o sus representantes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legales); y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n) Para el caso de proyectos autorizados, donde se apoyen activos productivos que impulsen el valor agregado a la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producción primaria, el Beneficiario deberá mantener y operar dichos activos en su unidad de producción al menos 5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años posteriores a la entrega del subsidio, de lo contrario deberá reintegrar el total de los recursos recibidos con los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productos financieros generados y no podrá ser apoyado en los años subsecuentes.</w:t>
      </w:r>
    </w:p>
    <w:p w:rsidR="00A417BB" w:rsidRPr="00601499" w:rsidRDefault="00A417BB" w:rsidP="006014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6014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III. Exclusiones.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 se otorgarán y/o se excluyen incentivos para los siguientes conceptos: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Compra de tierras;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Compra de equipo y maquinaria usada;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 Reparaciones, refacciones y compra de llantas;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d) Compra de cualquier tipo de vehículo o embarcación con características de lujo que sea de línea o por pedido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prefabricado; salvo adquisición de vehículos nuevos de transporte terrestre de carga chasis desde 1 tonelada y hasta 10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toneladas; y solo se podrán apoyar estos conceptos en los incentivos que así lo indiquen;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e) Materias primas, insumos o capital de trabajo, con excepción de paquetes tecnológicos autorizados por la Secretaría;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f) Pago de pasivos; no se utilizará el incentivo para el pago de pasivo de ejercicios anteriores, ni los contraídos a título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personal, distintos de los establecidos en las presentes Reglas de Operación;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g) Edificación de uso habitacional;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h) Compra de remolques para el traslado de especies de competencia deportiva o de eventos de gala;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i) El ganado de desecho, aquel que presente baja productividad o incapacidad reproductiva;</w:t>
      </w:r>
    </w:p>
    <w:p w:rsidR="00A417BB" w:rsidRPr="00A417BB" w:rsidRDefault="00A417BB" w:rsidP="006014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j) El lote de ganado que no cuente con Certificado Zoosanitario de Movilización y que no se encuentre registrado en el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Sistema de Inspección Veterinaria (SIV). Este requisito se verificará a través de los Certificados Zoosanitarios de</w:t>
      </w:r>
      <w:r w:rsidR="006014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Movilización, registrados en la solicitud de Alta de Productor y en el Sistema de Inspección Veterinaria (SIV);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k) A quien haya recibido incentivos o subsidios de otros programas federales para los mismos conceptos aprobados;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l) Cuando la Unidad Responsable y/o la Instancia Ejecutora detecte que un mismo volumen de un predio registrado por una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persona física, pretenda participar de manera directa o como socio integrante o adherido a una persona moral para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recibir incentivos o subsidios de los componentes con las calidades de productor y comprador; o cualquier otra duplicidad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se compruebe, y</w:t>
      </w:r>
    </w:p>
    <w:p w:rsid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m) Las demás que no correspondan a los conceptos de apoyo de cada componente.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II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las Causas de Incumplimiento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Artículo 60.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Será motivo de incumplimiento por parte de los beneficiarios las siguientes causas: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Incumplir con cualquier obligación, procedimiento o las condiciones que dieron origen a su calificación como sujeto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elegible para el otorgamiento de los incentivos, señaladas en las presentes Reglas de Operación y a las </w:t>
      </w: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su caso,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estipulen en los convenios de concertación;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Aplicar el importe de los incentivos para fines distintos a los autorizados;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Negarse a proporcionar a la Secretaría, a la Unidad Responsable, a la Instancia Ejecutora, a la Secretaría de la Función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Pública, a la Auditoría Superior de la Federación o a cualquiera otra instancia autorizada, las facilidades,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documentación e información que les soliciten dichas autoridades, con el fin de verificar la correcta aplicación y destino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los incentivos otorgados;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Incumplir en el uso adecuado de la Imagen Institucional de Secretaría;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 En su caso, presentar referencias negativas respecto de apoyos o participaciones anteriores, cancelaciones sin causa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justificada o incumplimiento de los acuerdos y agendas establecidas;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VI. Falsear o presentar inconsistencias en la información proporcionada, en cualquier etapa del procedimiento;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VII. Falta de atención a los requerimientos expresos realizados por la Unidad Responsable o la Instancia Ejecutora;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VIII. Solicitudes o proyectos en los que se incorpore un servidor público vinculado a los componentes señalados en estas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mismas Reglas de Operación o un pariente consanguíneo hasta el cuarto grado y por afinidad, de algún servidor público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 ligado directamente a los programas a cargo de la Secretaría;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caso de que el beneficiario incumpla cualquiera de las obligaciones señaladas en el Capítulo I del Título IV o incurra en las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causas de incumplimiento señaladas en el Capítulo II de las presentes Reglas de Operación o del convenio que se suscriba para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tal efecto, previa instauración del procedimiento administrativo en términos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de lo establecido en la Ley Federal de Procedimiento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Administrativo y resolución de la Instancia Ejecutora, o la Unidad Responsable según corresponda, le será cancelado el apoyo y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requerida la devolución del mismo, más los productos financieros generados y será registrado por parte de la Instancia Ejecutora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 la Unidad Responsable en el directorio de personas físicas y/o morales que pierden su derecho de recibir apoyos, el cual está 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 de la Oficialía Mayor de la SAGARPA, hasta en tanto no se subsane el incumplimiento detectado. Lo anterior, sin perjuicio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otras acciones jurídicas y administrativas que emprenda la Secretaría y las instancias fiscalizadoras.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III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Proyectos Estratégicos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Artículo 61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En casos excepcionales y a fin de facilitar la aplicación de los recursos provenientes de los distintos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Componentes establecidos en las presentes Reglas de Operación, podrán llevarse a cabo Proyectos Estratégicos mismos que se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regirán conforme al apartado correspondiente del Capítulo III del Acuerdo por el que se dan a conocer las Disposiciones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Generales Aplicables a las Reglas de Operación de los Programas de la Secretaría de Agricultura, Ganadería, Desarrollo Rural,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Pesca y Alimentación, para el ejercicio fiscal 2017.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IV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Prohibiciones y Excusa de los Servidores Públicos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Artículo 62.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Prohibiciones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las disposiciones previstas en la legislación federal y estatal aplicable en materia de responsabilidades de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servidores públicos, se establece que los Servidores Públicos de la Secretaría, de sus órganos administrativos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desconcentrados, de las Entidades Paraestatales Sectorizadas, de cualquiera de las instancias participantes, de las Secretarías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Desarrollo Agropecuario (SDA) o sus equivalentes de las Entidades Federativas o de los Municipios, bajo ningún concepto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podrán ser beneficiarios de componentes derivados del Programa contemplado en las presentes Reglas de Operación.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Artículo 63.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Excusa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Aquellos servidores públicos que por motivo de su encargo, participen de forma directa en la atención, tramitación o resolución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asuntos en los que éste tenga interés personal, familiar o de negocios, incluyendo aquellos en los que puede resultar algún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beneficio para él, su cónyuge o parientes consanguíneos o por afinidad hasta el cuarto grado, o parientes civiles, o para terceros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los que tenga relaciones profesionales, laborales o de negocios, o para socios o sociedades de las que el servidor público 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personas antes referidas formen o hayan formado parte, están obligados a excusarse de intervenir en los mismos.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servidores públicos que se encuentren en alguno de los supuestos anteriores, están obligados a excusarse de forma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inmediata ante el superior jerárquico, en los términos del Modelo de Excusa para los Servidores Públicos, identificado como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X del presente Acuerdo, respecto de la atención, tramitación o resolución de asuntos a que hace referencia el párrafo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anterior, y en su caso, su calidad de beneficiario de cualquiera de los componentes a que se refieren estas Reglas.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los casos particulares, en los que no exista incertidumbre, las Unidades Administrativas podrán realizar la consulta a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Oficina del Abogado General para su determinación.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V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Procedimientos e instancias de recepción de Quejas y Denuncias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 64. Los beneficiarios y los ciudadanos en general podrán presentar por escrito sus quejas y denuncias, con respecto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la ejecución de las presentes Reglas de Operación directamente ante el Órgano Interno de Control en la Secretaría, en las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Delegaciones, en las oficinas de los Órganos Internos de Control de los Órganos Administrativos Desconcentrados y de las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Entidades Coordinadas por la Secretaría, el Órgano Estatal de Control y, en su caso, el Órgano Municipal de Control, así como en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Módulos de Quejas y Denuncias correspondientes.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quejas y denuncias podrán realizarse por escrito, vía Internet (https://sidec.funcionpublica.gob.mx), vía correo electrónico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(atencionoic@sagarpa.gob.mx) o vía telefónica al 01 800 90 61 900 (Área de Quejas del OIC en la Secretaría: Insurgentes Sur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489, P.H. 2, Hipódromo Condesa, Ciudad de México).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 VI</w:t>
      </w: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Solicitudes de Información</w:t>
      </w:r>
    </w:p>
    <w:p w:rsid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Artículo 65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La Transparencia, Difusión y Rendición de Cuentas se dará en el marco de la Ley Federal de Transparencia y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Acceso a la Información Pública Gubernamental y la Ley General de Transparencia y Acceso a la Información Pública, por medio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 Instituto Nacional de Transparencia, Acceso a la información y Protección de Datos Personales, a través de su página de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internet https://www.infomex.org.mx/gobiernofederal/home.action, por correo electrónico infomex@ifai.org.mx, o al teléfono : 01800 TELIFAI (835 4324).</w:t>
      </w:r>
    </w:p>
    <w:p w:rsidR="001719E6" w:rsidRPr="00A417BB" w:rsidRDefault="001719E6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A417BB" w:rsidRPr="001719E6" w:rsidRDefault="00A417BB" w:rsidP="001719E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1719E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TRANSITORIOS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PRIMERO.-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 presente Acuerdo entrará en vigor el primero de enero del 2017.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SEGUNDO.- A partir del ejercicio fiscal 2017 las presentes Reglas de Operación del Programa de Fomento Ganadero de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Secretaría de Agricultura, Ganadería, Desarrollo Rural, Pesca y Alimentación, serán las únicas aplicables para el mismo, por lo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mediante la publicación en el Diario Oficial de la Federación del presente acuerdo quedan sin efecto las Reglas de Operación,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lineamientos, adición, actualización o modificación que se hubieren publicado con anterioridad al presente Acuerdo, salvo que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expresamente se señale lo contrario en las presentes reglas.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TERCERO.-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 el propósito de dar cumplimiento a los objetivos y prioridades nacionales, dentro del ámbito de sus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atribuciones y de acuerdo a lo establecido en las presentes reglas de operación, la Unidad Responsable deberá identificar 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implementar acciones que contribuyan al logro de los objetivos de la Cruzada contra el Hambre. Dichas acciones atenderán a los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hogares y sus integrantes que se encuentren en situación de pobreza extrema de alimentación, evaluados e identificados a partir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la información socioeconómica integrada al Sistema de Focalización de Desarrollo (SIFODE). Lo anterior, con base en los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Lineamientos de Evaluación de Condiciones Socioeconómicas de los Hogares y disponibles en la dirección: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http://www.gob.mx/sedesol.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Asimismo, cuando aplique, para las acciones de servicios básicos e infraestructura social básica se atenderá a las personas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habitan en las Zonas de Atención Prioritaria urbanas y rurales vigentes disponibles en la dirección electrónica: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http://sisge.sedesol.gob.mx/SISGE/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implementar dichas acciones, el Programa podrá realizar los ajustes necesarios en su planeación y operación,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estableciendo los acuerdos, la coordinación y vinculación interinstitucional correspondientes, sin menoscabo de lo establecido en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presentes reglas de operación y de las metas establecidas, así como en función de la capacidad operativa y disponibilidad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presupuestal.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deberá informar las acciones, presupuesto y avances en las metas e indicadores de las acciones que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desarrollen para dar cumplimiento a los objetivos de la Cruzada.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Conforme a los artículos décimo cuarto y cuarto transitorio del Decreto por el que se establece el Sistema Nacional para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Cruzada contra el Hambre "Sin Hambre", las erogaciones que se realicen para dar cumplimiento a dicho Decreto, se cubrirán con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 a los respectivos programas y presupuestos aprobados para el ejercicio fiscal correspondiente en los términos de la Ley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Federal de Presupuesto y Responsabilidad Hacendaria.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CUARTO.-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 efecto de cumplir con lo señalado en el Artículo Vigésimo del Decreto que establece las medidas para el uso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eficiente, transparente y eficaz de los recursos públicos, y las acciones de disciplina presupuestaria en el ejercicio del gasto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público, así como para la modernización de la Administración Pública Federal; esta Secretaría continuará instruyendo que el pago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los beneficiarios se realice de forma electrónica, mediante depósito en cuentas bancarias. La forma de pago prevista en este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artículo, estará exceptuada en aquellos casos en que no se cuente con servicios bancarios en la localidad correspondiente.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QUINTO.-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Conforme a lo establecido en el artículo 37 fracción XII del Decreto de Presupuesto de Egresos de la Federación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el Ejercicio Fiscal 2017 esta Secretaría realizará la consulta sobre el cumplimiento al artículo 32-D del Código Fiscal de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 en la herramienta que para tal efecto pongan a disposición las autoridades fiscales.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SEXTO.-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 exclusión del Impuesto al Valor Agregado (IVA) de la comprobación de las inversiones realizadas en los proyectos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los Componentes del Programa, es para no rebasar los montos máximos de los apoyos, así como cumplir con las obligaciones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fiscales que le correspondan conforme a la normatividad aplicable. Esta exclusión no aplica para el concepto de apoyo Sistemas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Producto Pecuarios.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SÉPTIMO.-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el ámbito de atribuciones de esta Secretaría y de acuerdo a la cobertura y mecanismos de apoyos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contemplados en los programas y componentes establecidos en las Reglas de Operación, se dispondrá lo necesario a efecto de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dar cumplimiento al "Programa de 10 acciones para Mejorar la Seguridad, la Justicia, y el Estado de Derecho", presentado por el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C. Presidente de la República el 27 de noviembre de 2014, particularmente en lo que se refiere a la implementación de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estrategia de desarrollo para reducir los niveles de marginación socioeconómica en los estados de Chiapas, Guerrero y Oaxaca,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mediante la creación de tres zonas económicas especiales: 1</w:t>
      </w: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 Corredor Industrial Interoceánico, en el Istmo de Tehuantepec;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2).- El Puerto Chiapas; y 3</w:t>
      </w: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 área integrada por los municipios de Michoacán, y Guerrero colindantes al Puerto de Lázaro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Cárdenas, ya que se tiene previsto que para impulsar el desarrollo de estas zonas económicas se establecerá un marco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regulatorio específico, se dispondrá de estímulos fiscales especiales (particularmente para el campo) y se implementarán medidas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empleo temporal y becas académicas.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Asimismo, la ejecución de los programas y componentes previstos en las Reglas de Operación, brindará especial atención 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los proyectos y actividades económicas (Procesos encaminados a producir un bien,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proporcionar un servicio o comerciar una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mercancía) del sector agropecuario, pesquero y alimentario que se ubiquen dentro de las acciones contempladas para la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implementación del Plan Michoacán y el Plan Nuevo Guerrero.</w:t>
      </w:r>
    </w:p>
    <w:p w:rsidR="001719E6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OCTAVO.-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caso que la Unidad Responsable lo determine procedente, se podrá apoyar con recursos del ejercicio fiscal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2017, las solicitudes de apoyo dictaminadas favorablemente durante el ejercicio inmediato anterior, cuando por razones de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insuficiencia presupuestal no se hubieran podido atender.</w:t>
      </w:r>
      <w:r w:rsidR="001719E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</w:p>
    <w:p w:rsidR="00A417BB" w:rsidRPr="00A417BB" w:rsidRDefault="00A417BB" w:rsidP="001719E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0" w:name="_GoBack"/>
      <w:bookmarkEnd w:id="0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diciembre de 2016.- El Secretario de Agricultura, Ganadería, Desarrollo Rural, Pesca y</w:t>
      </w:r>
    </w:p>
    <w:p w:rsidR="00A417BB" w:rsidRPr="00A417BB" w:rsidRDefault="00A417BB" w:rsidP="00A417B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Alimentación, José Eduardo Calzada </w:t>
      </w:r>
      <w:proofErr w:type="spellStart"/>
      <w:proofErr w:type="gramStart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Rovirosa</w:t>
      </w:r>
      <w:proofErr w:type="spell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</w:t>
      </w:r>
      <w:proofErr w:type="gramEnd"/>
      <w:r w:rsidRPr="00A417B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Rúbrica.</w:t>
      </w:r>
    </w:p>
    <w:sectPr w:rsidR="00A417BB" w:rsidRPr="00A41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1FB9"/>
    <w:multiLevelType w:val="hybridMultilevel"/>
    <w:tmpl w:val="F08CD816"/>
    <w:lvl w:ilvl="0" w:tplc="E176F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2829"/>
    <w:multiLevelType w:val="hybridMultilevel"/>
    <w:tmpl w:val="F08CD816"/>
    <w:lvl w:ilvl="0" w:tplc="E176F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E3"/>
    <w:rsid w:val="001719E6"/>
    <w:rsid w:val="00417EC0"/>
    <w:rsid w:val="00601499"/>
    <w:rsid w:val="009E32E3"/>
    <w:rsid w:val="00A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B38A"/>
  <w15:chartTrackingRefBased/>
  <w15:docId w15:val="{33FF8615-AC4F-42E8-9462-4C095EE5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6156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Rodrigo Contreras Alcantara</dc:creator>
  <cp:keywords/>
  <dc:description/>
  <cp:lastModifiedBy>Bryan Rodrigo Contreras Alcantara</cp:lastModifiedBy>
  <cp:revision>1</cp:revision>
  <dcterms:created xsi:type="dcterms:W3CDTF">2018-09-11T19:27:00Z</dcterms:created>
  <dcterms:modified xsi:type="dcterms:W3CDTF">2018-09-11T20:59:00Z</dcterms:modified>
</cp:coreProperties>
</file>