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7CD" w:rsidRDefault="00FF27CD" w:rsidP="00FF27CD">
      <w:pPr>
        <w:spacing w:before="120" w:line="276" w:lineRule="auto"/>
        <w:jc w:val="center"/>
        <w:rPr>
          <w:rFonts w:ascii="Adobe Caslon Pro" w:hAnsi="Adobe Caslon Pro" w:cs="Arial"/>
          <w:b/>
          <w:szCs w:val="22"/>
          <w:lang w:val="es-MX"/>
        </w:rPr>
      </w:pPr>
      <w:r w:rsidRPr="00F42210">
        <w:rPr>
          <w:rFonts w:ascii="Adobe Caslon Pro" w:hAnsi="Adobe Caslon Pro" w:cs="Arial"/>
          <w:b/>
          <w:szCs w:val="22"/>
          <w:lang w:val="es-MX"/>
        </w:rPr>
        <w:t>Gerencia de Seguimiento Normativo de los Programas de Apoyo</w:t>
      </w:r>
    </w:p>
    <w:p w:rsidR="00FF27CD" w:rsidRDefault="00FF27CD" w:rsidP="00FF27CD">
      <w:pPr>
        <w:spacing w:before="120" w:line="276" w:lineRule="auto"/>
        <w:jc w:val="center"/>
        <w:rPr>
          <w:rFonts w:ascii="Adobe Caslon Pro" w:hAnsi="Adobe Caslon Pro" w:cs="Arial"/>
          <w:b/>
          <w:szCs w:val="22"/>
          <w:lang w:val="es-MX"/>
        </w:rPr>
      </w:pPr>
      <w:r w:rsidRPr="00AF6A27">
        <w:rPr>
          <w:rFonts w:ascii="Adobe Caslon Pro" w:hAnsi="Adobe Caslon Pro" w:cs="Arial"/>
          <w:b/>
          <w:szCs w:val="22"/>
          <w:lang w:val="es-MX"/>
        </w:rPr>
        <w:t>Resumen Ejecutivo de Expedientes Revisados</w:t>
      </w:r>
      <w:r w:rsidR="00AC3767">
        <w:rPr>
          <w:rFonts w:ascii="Adobe Caslon Pro" w:hAnsi="Adobe Caslon Pro" w:cs="Arial"/>
          <w:b/>
          <w:szCs w:val="22"/>
          <w:lang w:val="es-MX"/>
        </w:rPr>
        <w:t xml:space="preserve"> de los Programas Internos y Externos, de ejercicio de la Cuenta Pública 2017.</w:t>
      </w:r>
    </w:p>
    <w:p w:rsidR="0018426E" w:rsidRDefault="0018426E" w:rsidP="00FF27CD">
      <w:pPr>
        <w:spacing w:before="120" w:line="276" w:lineRule="auto"/>
        <w:jc w:val="center"/>
        <w:rPr>
          <w:rFonts w:ascii="Adobe Caslon Pro" w:hAnsi="Adobe Caslon Pro" w:cs="Arial"/>
          <w:b/>
          <w:szCs w:val="22"/>
          <w:lang w:val="es-MX"/>
        </w:rPr>
      </w:pPr>
    </w:p>
    <w:p w:rsidR="00FF27CD" w:rsidRPr="00AF6A27" w:rsidRDefault="00FF27CD" w:rsidP="00FF27CD">
      <w:pPr>
        <w:spacing w:line="276" w:lineRule="auto"/>
        <w:jc w:val="center"/>
        <w:rPr>
          <w:rFonts w:ascii="Adobe Caslon Pro" w:hAnsi="Adobe Caslon Pro" w:cs="Arial"/>
          <w:b/>
          <w:szCs w:val="22"/>
          <w:lang w:val="es-MX"/>
        </w:rPr>
      </w:pPr>
    </w:p>
    <w:p w:rsidR="004532B7" w:rsidRPr="003F2F4C" w:rsidRDefault="00BF0BAF" w:rsidP="004532B7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  <w:r>
        <w:rPr>
          <w:rFonts w:ascii="Adobe Caslon Pro" w:hAnsi="Adobe Caslon Pro" w:cs="Arial"/>
          <w:sz w:val="22"/>
          <w:szCs w:val="22"/>
          <w:lang w:val="es-MX"/>
        </w:rPr>
        <w:t>Derivado de las funciones</w:t>
      </w:r>
      <w:r w:rsidR="00EE7C4E">
        <w:rPr>
          <w:rFonts w:ascii="Adobe Caslon Pro" w:hAnsi="Adobe Caslon Pro" w:cs="Arial"/>
          <w:sz w:val="22"/>
          <w:szCs w:val="22"/>
          <w:lang w:val="es-MX"/>
        </w:rPr>
        <w:t xml:space="preserve"> encomendadas a la GSNPA</w:t>
      </w:r>
      <w:r w:rsidR="0018426E">
        <w:rPr>
          <w:rFonts w:ascii="Adobe Caslon Pro" w:hAnsi="Adobe Caslon Pro" w:cs="Arial"/>
          <w:sz w:val="22"/>
          <w:szCs w:val="22"/>
          <w:lang w:val="es-MX"/>
        </w:rPr>
        <w:t xml:space="preserve">, de revisar los </w:t>
      </w:r>
      <w:r w:rsidR="0018426E" w:rsidRPr="003F2F4C">
        <w:rPr>
          <w:rFonts w:ascii="Adobe Caslon Pro" w:hAnsi="Adobe Caslon Pro" w:cs="Arial"/>
          <w:sz w:val="22"/>
          <w:szCs w:val="22"/>
          <w:lang w:val="es-MX"/>
        </w:rPr>
        <w:t>expedientes de las solicitudes de</w:t>
      </w:r>
      <w:r w:rsidR="0018426E">
        <w:rPr>
          <w:rFonts w:ascii="Adobe Caslon Pro" w:hAnsi="Adobe Caslon Pro" w:cs="Arial"/>
          <w:sz w:val="22"/>
          <w:szCs w:val="22"/>
          <w:lang w:val="es-MX"/>
        </w:rPr>
        <w:t xml:space="preserve"> </w:t>
      </w:r>
      <w:r w:rsidR="0018426E" w:rsidRPr="003F2F4C">
        <w:rPr>
          <w:rFonts w:ascii="Adobe Caslon Pro" w:hAnsi="Adobe Caslon Pro" w:cs="Arial"/>
          <w:sz w:val="22"/>
          <w:szCs w:val="22"/>
          <w:lang w:val="es-MX"/>
        </w:rPr>
        <w:t>apoyo que hubieran recibido recursos</w:t>
      </w:r>
      <w:r w:rsidR="0018426E">
        <w:rPr>
          <w:rFonts w:ascii="Adobe Caslon Pro" w:hAnsi="Adobe Caslon Pro" w:cs="Arial"/>
          <w:sz w:val="22"/>
          <w:szCs w:val="22"/>
          <w:lang w:val="es-MX"/>
        </w:rPr>
        <w:t xml:space="preserve"> </w:t>
      </w:r>
      <w:r w:rsidR="0018426E" w:rsidRPr="003F2F4C">
        <w:rPr>
          <w:rFonts w:ascii="Adobe Caslon Pro" w:hAnsi="Adobe Caslon Pro" w:cs="Arial"/>
          <w:sz w:val="22"/>
          <w:szCs w:val="22"/>
          <w:lang w:val="es-MX"/>
        </w:rPr>
        <w:t>correspondientes a l</w:t>
      </w:r>
      <w:r w:rsidR="0018426E">
        <w:rPr>
          <w:rFonts w:ascii="Adobe Caslon Pro" w:hAnsi="Adobe Caslon Pro" w:cs="Arial"/>
          <w:sz w:val="22"/>
          <w:szCs w:val="22"/>
          <w:lang w:val="es-MX"/>
        </w:rPr>
        <w:t xml:space="preserve">os Programas de Apoyo, Internos </w:t>
      </w:r>
      <w:r w:rsidR="0018426E" w:rsidRPr="003F2F4C">
        <w:rPr>
          <w:rFonts w:ascii="Adobe Caslon Pro" w:hAnsi="Adobe Caslon Pro" w:cs="Arial"/>
          <w:sz w:val="22"/>
          <w:szCs w:val="22"/>
          <w:lang w:val="es-MX"/>
        </w:rPr>
        <w:t>y Externos, a cargo de la Dirección General Adjunta de Promoción de Negocios y Coordinación Regional</w:t>
      </w:r>
      <w:r w:rsidR="0018426E">
        <w:rPr>
          <w:rFonts w:ascii="Adobe Caslon Pro" w:hAnsi="Adobe Caslon Pro" w:cs="Arial"/>
          <w:sz w:val="22"/>
          <w:szCs w:val="22"/>
          <w:lang w:val="es-MX"/>
        </w:rPr>
        <w:t xml:space="preserve">; para realizar un análisis y evaluación de los </w:t>
      </w:r>
      <w:r w:rsidR="003F2F4C" w:rsidRPr="003F2F4C">
        <w:rPr>
          <w:rFonts w:ascii="Adobe Caslon Pro" w:hAnsi="Adobe Caslon Pro" w:cs="Arial"/>
          <w:sz w:val="22"/>
          <w:szCs w:val="22"/>
          <w:lang w:val="es-MX"/>
        </w:rPr>
        <w:t xml:space="preserve">procesos establecidos </w:t>
      </w:r>
      <w:r w:rsidR="0018426E">
        <w:rPr>
          <w:rFonts w:ascii="Adobe Caslon Pro" w:hAnsi="Adobe Caslon Pro" w:cs="Arial"/>
          <w:sz w:val="22"/>
          <w:szCs w:val="22"/>
          <w:lang w:val="es-MX"/>
        </w:rPr>
        <w:t xml:space="preserve">por la normatividad que los rige; </w:t>
      </w:r>
      <w:r w:rsidR="004532B7" w:rsidRPr="003F2F4C">
        <w:rPr>
          <w:rFonts w:ascii="Adobe Caslon Pro" w:hAnsi="Adobe Caslon Pro" w:cs="Arial"/>
          <w:sz w:val="22"/>
          <w:szCs w:val="22"/>
          <w:lang w:val="es-MX"/>
        </w:rPr>
        <w:t>y</w:t>
      </w:r>
      <w:r w:rsidR="004532B7">
        <w:rPr>
          <w:rFonts w:ascii="Adobe Caslon Pro" w:hAnsi="Adobe Caslon Pro" w:cs="Arial"/>
          <w:sz w:val="22"/>
          <w:szCs w:val="22"/>
          <w:lang w:val="es-MX"/>
        </w:rPr>
        <w:t xml:space="preserve"> </w:t>
      </w:r>
      <w:r w:rsidR="0018426E">
        <w:rPr>
          <w:rFonts w:ascii="Adobe Caslon Pro" w:hAnsi="Adobe Caslon Pro" w:cs="Arial"/>
          <w:sz w:val="22"/>
          <w:szCs w:val="22"/>
          <w:lang w:val="es-MX"/>
        </w:rPr>
        <w:t>asimismo</w:t>
      </w:r>
      <w:r w:rsidR="004532B7">
        <w:rPr>
          <w:rFonts w:ascii="Adobe Caslon Pro" w:hAnsi="Adobe Caslon Pro" w:cs="Arial"/>
          <w:sz w:val="22"/>
          <w:szCs w:val="22"/>
          <w:lang w:val="es-MX"/>
        </w:rPr>
        <w:t xml:space="preserve"> coordinar </w:t>
      </w:r>
      <w:r w:rsidR="004532B7" w:rsidRPr="003F2F4C">
        <w:rPr>
          <w:rFonts w:ascii="Adobe Caslon Pro" w:hAnsi="Adobe Caslon Pro" w:cs="Arial"/>
          <w:sz w:val="22"/>
          <w:szCs w:val="22"/>
          <w:lang w:val="es-MX"/>
        </w:rPr>
        <w:t>la elaboración de las acciones de mejora</w:t>
      </w:r>
      <w:r w:rsidR="004532B7">
        <w:rPr>
          <w:rFonts w:ascii="Adobe Caslon Pro" w:hAnsi="Adobe Caslon Pro" w:cs="Arial"/>
          <w:sz w:val="22"/>
          <w:szCs w:val="22"/>
          <w:lang w:val="es-MX"/>
        </w:rPr>
        <w:t xml:space="preserve"> </w:t>
      </w:r>
      <w:r w:rsidR="004532B7" w:rsidRPr="003F2F4C">
        <w:rPr>
          <w:rFonts w:ascii="Adobe Caslon Pro" w:hAnsi="Adobe Caslon Pro" w:cs="Arial"/>
          <w:sz w:val="22"/>
          <w:szCs w:val="22"/>
          <w:lang w:val="es-MX"/>
        </w:rPr>
        <w:t>que fortalezcan el control interno de los procesos de entrega, supervisión y comprobación de los recursos de</w:t>
      </w:r>
      <w:r w:rsidR="004532B7">
        <w:rPr>
          <w:rFonts w:ascii="Adobe Caslon Pro" w:hAnsi="Adobe Caslon Pro" w:cs="Arial"/>
          <w:sz w:val="22"/>
          <w:szCs w:val="22"/>
          <w:lang w:val="es-MX"/>
        </w:rPr>
        <w:t xml:space="preserve"> </w:t>
      </w:r>
      <w:r w:rsidR="004532B7" w:rsidRPr="003F2F4C">
        <w:rPr>
          <w:rFonts w:ascii="Adobe Caslon Pro" w:hAnsi="Adobe Caslon Pro" w:cs="Arial"/>
          <w:sz w:val="22"/>
          <w:szCs w:val="22"/>
          <w:lang w:val="es-MX"/>
        </w:rPr>
        <w:t>los Programas antes mencionados</w:t>
      </w:r>
      <w:r w:rsidR="004532B7">
        <w:rPr>
          <w:rFonts w:ascii="Adobe Caslon Pro" w:hAnsi="Adobe Caslon Pro" w:cs="Arial"/>
          <w:sz w:val="22"/>
          <w:szCs w:val="22"/>
          <w:lang w:val="es-MX"/>
        </w:rPr>
        <w:t>.</w:t>
      </w:r>
    </w:p>
    <w:p w:rsidR="003F2F4C" w:rsidRDefault="003F2F4C" w:rsidP="003F2F4C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p w:rsidR="00BF0BAF" w:rsidRDefault="004532B7" w:rsidP="00EE7C4E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  <w:r>
        <w:rPr>
          <w:rFonts w:ascii="Adobe Caslon Pro" w:hAnsi="Adobe Caslon Pro" w:cs="Arial"/>
          <w:sz w:val="22"/>
          <w:szCs w:val="22"/>
          <w:lang w:val="es-MX"/>
        </w:rPr>
        <w:t xml:space="preserve"> Conform</w:t>
      </w:r>
      <w:r w:rsidR="00BF0BAF">
        <w:rPr>
          <w:rFonts w:ascii="Adobe Caslon Pro" w:hAnsi="Adobe Caslon Pro" w:cs="Arial"/>
          <w:sz w:val="22"/>
          <w:szCs w:val="22"/>
          <w:lang w:val="es-MX"/>
        </w:rPr>
        <w:t>e al Programa de Trabajo de 2018, para revisar los expedientes correspondientes al ejercicio 2017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 y </w:t>
      </w:r>
      <w:r w:rsidR="00EE7C4E">
        <w:rPr>
          <w:rFonts w:ascii="Adobe Caslon Pro" w:hAnsi="Adobe Caslon Pro" w:cs="Arial"/>
          <w:sz w:val="22"/>
          <w:szCs w:val="22"/>
          <w:lang w:val="es-MX"/>
        </w:rPr>
        <w:t xml:space="preserve">con el objeto de </w:t>
      </w:r>
      <w:r w:rsidR="00EE7C4E" w:rsidRPr="00EE7C4E">
        <w:rPr>
          <w:rFonts w:ascii="Adobe Caslon Pro" w:hAnsi="Adobe Caslon Pro" w:cs="Arial"/>
          <w:sz w:val="22"/>
          <w:szCs w:val="22"/>
          <w:lang w:val="es-MX"/>
        </w:rPr>
        <w:t>incrementar la eficiencia y eficacia en su gestión, dando certeza del cump</w:t>
      </w:r>
      <w:r w:rsidR="00BF0BAF">
        <w:rPr>
          <w:rFonts w:ascii="Adobe Caslon Pro" w:hAnsi="Adobe Caslon Pro" w:cs="Arial"/>
          <w:sz w:val="22"/>
          <w:szCs w:val="22"/>
          <w:lang w:val="es-MX"/>
        </w:rPr>
        <w:t>limiento a la normativa aplicable vigente a los</w:t>
      </w:r>
      <w:r w:rsidR="00EE7C4E">
        <w:rPr>
          <w:rFonts w:ascii="Adobe Caslon Pro" w:hAnsi="Adobe Caslon Pro" w:cs="Arial"/>
          <w:sz w:val="22"/>
          <w:szCs w:val="22"/>
          <w:lang w:val="es-MX"/>
        </w:rPr>
        <w:t xml:space="preserve"> programas internos y externos; se llevó a cabo la evaluación de los controles internos de los procesos de operación para el otorgamiento de los apoyos internos y externos</w:t>
      </w:r>
      <w:r w:rsidR="00BF0BAF">
        <w:rPr>
          <w:rFonts w:ascii="Adobe Caslon Pro" w:hAnsi="Adobe Caslon Pro" w:cs="Arial"/>
          <w:sz w:val="22"/>
          <w:szCs w:val="22"/>
          <w:lang w:val="es-MX"/>
        </w:rPr>
        <w:t>.</w:t>
      </w:r>
    </w:p>
    <w:p w:rsidR="00827474" w:rsidRDefault="00BF0BAF" w:rsidP="00FF27CD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  <w:r w:rsidRPr="00EE7C4E">
        <w:rPr>
          <w:rFonts w:ascii="Adobe Caslon Pro" w:hAnsi="Adobe Caslon Pro" w:cs="Arial"/>
          <w:sz w:val="22"/>
          <w:szCs w:val="22"/>
          <w:lang w:val="es-MX"/>
        </w:rPr>
        <w:t xml:space="preserve"> </w:t>
      </w:r>
    </w:p>
    <w:p w:rsidR="007147BB" w:rsidRDefault="007147BB" w:rsidP="00B6165C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  <w:r>
        <w:rPr>
          <w:rFonts w:ascii="Adobe Caslon Pro" w:hAnsi="Adobe Caslon Pro" w:cs="Arial"/>
          <w:sz w:val="22"/>
          <w:szCs w:val="22"/>
          <w:lang w:val="es-MX"/>
        </w:rPr>
        <w:t>De los 2,778 expedientes integrados por concepto de los Programas Internos que fueron ejecutados en las 85 agencias,</w:t>
      </w:r>
      <w:r w:rsidR="00BF0BAF">
        <w:rPr>
          <w:rFonts w:ascii="Adobe Caslon Pro" w:hAnsi="Adobe Caslon Pro" w:cs="Arial"/>
          <w:sz w:val="22"/>
          <w:szCs w:val="22"/>
          <w:lang w:val="es-MX"/>
        </w:rPr>
        <w:t xml:space="preserve"> correspondientes al ejercicio de 2017,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 se </w:t>
      </w:r>
      <w:r w:rsidR="00BF0BAF">
        <w:rPr>
          <w:rFonts w:ascii="Adobe Caslon Pro" w:hAnsi="Adobe Caslon Pro" w:cs="Arial"/>
          <w:sz w:val="22"/>
          <w:szCs w:val="22"/>
          <w:lang w:val="es-MX"/>
        </w:rPr>
        <w:t xml:space="preserve">seleccionaron </w:t>
      </w:r>
      <w:r w:rsidR="00B6165C">
        <w:rPr>
          <w:rFonts w:ascii="Adobe Caslon Pro" w:hAnsi="Adobe Caslon Pro" w:cs="Arial"/>
          <w:sz w:val="22"/>
          <w:szCs w:val="22"/>
          <w:lang w:val="es-MX"/>
        </w:rPr>
        <w:t>37 expedientes; con respecto a los Programas Externos de los 1, 1019 expedientes integrados en las 80 agencias, se seleccionaron 38 expedientes para su revisión, con la herramienta de “M</w:t>
      </w:r>
      <w:r w:rsidR="00BF0BAF">
        <w:rPr>
          <w:rFonts w:ascii="Adobe Caslon Pro" w:hAnsi="Adobe Caslon Pro" w:cs="Arial"/>
          <w:sz w:val="22"/>
          <w:szCs w:val="22"/>
          <w:lang w:val="es-MX"/>
        </w:rPr>
        <w:t>uestra estadística y aleatoria”, el cual nos da un n</w:t>
      </w:r>
      <w:r w:rsidR="00BF0BAF" w:rsidRPr="007147BB">
        <w:rPr>
          <w:rFonts w:ascii="Adobe Caslon Pro" w:hAnsi="Adobe Caslon Pro" w:cs="Arial"/>
          <w:sz w:val="22"/>
          <w:szCs w:val="22"/>
          <w:lang w:val="es-MX"/>
        </w:rPr>
        <w:t xml:space="preserve">ivel de confianza del 90%, una Probabilidad de </w:t>
      </w:r>
      <w:r w:rsidR="00BF0BAF">
        <w:rPr>
          <w:rFonts w:ascii="Adobe Caslon Pro" w:hAnsi="Adobe Caslon Pro" w:cs="Arial"/>
          <w:sz w:val="22"/>
          <w:szCs w:val="22"/>
          <w:lang w:val="es-MX"/>
        </w:rPr>
        <w:t>error del 4% y Precisión del 5%; operados en el ejercicio 2017.</w:t>
      </w:r>
    </w:p>
    <w:p w:rsidR="00827474" w:rsidRDefault="00827474" w:rsidP="00FF27CD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p w:rsidR="00FF27CD" w:rsidRDefault="001E7EE2" w:rsidP="00FF27CD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  <w:r>
        <w:rPr>
          <w:rFonts w:ascii="Adobe Caslon Pro" w:hAnsi="Adobe Caslon Pro" w:cs="Arial"/>
          <w:sz w:val="22"/>
          <w:szCs w:val="22"/>
          <w:lang w:val="es-MX"/>
        </w:rPr>
        <w:t>De la revisión de 75</w:t>
      </w:r>
      <w:r w:rsidR="00FF27CD">
        <w:rPr>
          <w:rFonts w:ascii="Adobe Caslon Pro" w:hAnsi="Adobe Caslon Pro" w:cs="Arial"/>
          <w:sz w:val="22"/>
          <w:szCs w:val="22"/>
          <w:lang w:val="es-MX"/>
        </w:rPr>
        <w:t xml:space="preserve"> </w:t>
      </w:r>
      <w:r w:rsidR="004966FE">
        <w:rPr>
          <w:rFonts w:ascii="Adobe Caslon Pro" w:hAnsi="Adobe Caslon Pro" w:cs="Arial"/>
          <w:sz w:val="22"/>
          <w:szCs w:val="22"/>
          <w:lang w:val="es-MX"/>
        </w:rPr>
        <w:t>expedientes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 integrados por los conceptos otorgados de los Programas Internos y Externos, se </w:t>
      </w:r>
      <w:r w:rsidR="00B04086">
        <w:rPr>
          <w:rFonts w:ascii="Adobe Caslon Pro" w:hAnsi="Adobe Caslon Pro" w:cs="Arial"/>
          <w:sz w:val="22"/>
          <w:szCs w:val="22"/>
          <w:lang w:val="es-MX"/>
        </w:rPr>
        <w:t>identificaron 341</w:t>
      </w:r>
      <w:r w:rsidR="00FF27CD">
        <w:rPr>
          <w:rFonts w:ascii="Adobe Caslon Pro" w:hAnsi="Adobe Caslon Pro" w:cs="Arial"/>
          <w:sz w:val="22"/>
          <w:szCs w:val="22"/>
          <w:lang w:val="es-MX"/>
        </w:rPr>
        <w:t xml:space="preserve"> áreas de oportunidad, de las cuales</w:t>
      </w:r>
      <w:r w:rsidR="001A568B">
        <w:rPr>
          <w:rFonts w:ascii="Adobe Caslon Pro" w:hAnsi="Adobe Caslon Pro" w:cs="Arial"/>
          <w:sz w:val="22"/>
          <w:szCs w:val="22"/>
          <w:lang w:val="es-MX"/>
        </w:rPr>
        <w:t xml:space="preserve"> 103</w:t>
      </w:r>
      <w:r w:rsidR="00FF27CD">
        <w:rPr>
          <w:rFonts w:ascii="Adobe Caslon Pro" w:hAnsi="Adobe Caslon Pro" w:cs="Arial"/>
          <w:sz w:val="22"/>
          <w:szCs w:val="22"/>
          <w:lang w:val="es-MX"/>
        </w:rPr>
        <w:t xml:space="preserve"> están relacionadas con la </w:t>
      </w:r>
      <w:r w:rsidR="00FF27CD" w:rsidRPr="005A3D4A">
        <w:rPr>
          <w:rFonts w:ascii="Adobe Caslon Pro" w:hAnsi="Adobe Caslon Pro" w:cs="Arial"/>
          <w:i/>
          <w:sz w:val="22"/>
          <w:szCs w:val="22"/>
          <w:lang w:val="es-MX"/>
        </w:rPr>
        <w:t>solicitud</w:t>
      </w:r>
      <w:r w:rsidR="001A568B">
        <w:rPr>
          <w:rFonts w:ascii="Adobe Caslon Pro" w:hAnsi="Adobe Caslon Pro" w:cs="Arial"/>
          <w:sz w:val="22"/>
          <w:szCs w:val="22"/>
          <w:lang w:val="es-MX"/>
        </w:rPr>
        <w:t>, 58</w:t>
      </w:r>
      <w:r w:rsidR="00FF27CD">
        <w:rPr>
          <w:rFonts w:ascii="Adobe Caslon Pro" w:hAnsi="Adobe Caslon Pro" w:cs="Arial"/>
          <w:sz w:val="22"/>
          <w:szCs w:val="22"/>
          <w:lang w:val="es-MX"/>
        </w:rPr>
        <w:t xml:space="preserve"> con la </w:t>
      </w:r>
      <w:r w:rsidR="001A568B" w:rsidRPr="005A3D4A">
        <w:rPr>
          <w:rFonts w:ascii="Adobe Caslon Pro" w:hAnsi="Adobe Caslon Pro" w:cs="Arial"/>
          <w:i/>
          <w:sz w:val="22"/>
          <w:szCs w:val="22"/>
          <w:lang w:val="es-MX"/>
        </w:rPr>
        <w:t>autorización</w:t>
      </w:r>
      <w:r w:rsidR="001A568B">
        <w:rPr>
          <w:rFonts w:ascii="Adobe Caslon Pro" w:hAnsi="Adobe Caslon Pro" w:cs="Arial"/>
          <w:sz w:val="22"/>
          <w:szCs w:val="22"/>
          <w:lang w:val="es-MX"/>
        </w:rPr>
        <w:t xml:space="preserve">, </w:t>
      </w:r>
      <w:r w:rsidR="001A568B" w:rsidRPr="00B3309D">
        <w:rPr>
          <w:rFonts w:ascii="Adobe Caslon Pro" w:hAnsi="Adobe Caslon Pro" w:cs="Arial"/>
          <w:sz w:val="22"/>
          <w:szCs w:val="22"/>
          <w:lang w:val="es-MX"/>
        </w:rPr>
        <w:t xml:space="preserve">26 </w:t>
      </w:r>
      <w:r w:rsidR="00FF27CD" w:rsidRPr="00B3309D">
        <w:rPr>
          <w:rFonts w:ascii="Adobe Caslon Pro" w:hAnsi="Adobe Caslon Pro" w:cs="Arial"/>
          <w:sz w:val="22"/>
          <w:szCs w:val="22"/>
          <w:lang w:val="es-MX"/>
        </w:rPr>
        <w:t xml:space="preserve">con la </w:t>
      </w:r>
      <w:r w:rsidR="001A568B" w:rsidRPr="00B3309D">
        <w:rPr>
          <w:rFonts w:ascii="Adobe Caslon Pro" w:hAnsi="Adobe Caslon Pro" w:cs="Arial"/>
          <w:sz w:val="22"/>
          <w:szCs w:val="22"/>
          <w:lang w:val="es-MX"/>
        </w:rPr>
        <w:t>ministración</w:t>
      </w:r>
      <w:r w:rsidR="001A568B">
        <w:rPr>
          <w:rFonts w:ascii="Adobe Caslon Pro" w:hAnsi="Adobe Caslon Pro" w:cs="Arial"/>
          <w:sz w:val="22"/>
          <w:szCs w:val="22"/>
          <w:lang w:val="es-MX"/>
        </w:rPr>
        <w:t xml:space="preserve">, 121 con la </w:t>
      </w:r>
      <w:r w:rsidR="001A568B" w:rsidRPr="005A3D4A">
        <w:rPr>
          <w:rFonts w:ascii="Adobe Caslon Pro" w:hAnsi="Adobe Caslon Pro" w:cs="Arial"/>
          <w:i/>
          <w:sz w:val="22"/>
          <w:szCs w:val="22"/>
          <w:lang w:val="es-MX"/>
        </w:rPr>
        <w:t>comprobación</w:t>
      </w:r>
      <w:r w:rsidR="001A568B">
        <w:rPr>
          <w:rFonts w:ascii="Adobe Caslon Pro" w:hAnsi="Adobe Caslon Pro" w:cs="Arial"/>
          <w:sz w:val="22"/>
          <w:szCs w:val="22"/>
          <w:lang w:val="es-MX"/>
        </w:rPr>
        <w:t xml:space="preserve"> y 33</w:t>
      </w:r>
      <w:r w:rsidR="00FF27CD">
        <w:rPr>
          <w:rFonts w:ascii="Adobe Caslon Pro" w:hAnsi="Adobe Caslon Pro" w:cs="Arial"/>
          <w:sz w:val="22"/>
          <w:szCs w:val="22"/>
          <w:lang w:val="es-MX"/>
        </w:rPr>
        <w:t xml:space="preserve"> con </w:t>
      </w:r>
      <w:r w:rsidR="001A568B">
        <w:rPr>
          <w:rFonts w:ascii="Adobe Caslon Pro" w:hAnsi="Adobe Caslon Pro" w:cs="Arial"/>
          <w:i/>
          <w:sz w:val="22"/>
          <w:szCs w:val="22"/>
          <w:lang w:val="es-MX"/>
        </w:rPr>
        <w:t>otras áreas de oportunidad</w:t>
      </w:r>
      <w:r w:rsidR="00FF27CD">
        <w:rPr>
          <w:rFonts w:ascii="Adobe Caslon Pro" w:hAnsi="Adobe Caslon Pro" w:cs="Arial"/>
          <w:sz w:val="22"/>
          <w:szCs w:val="22"/>
          <w:lang w:val="es-MX"/>
        </w:rPr>
        <w:t xml:space="preserve">. </w:t>
      </w:r>
    </w:p>
    <w:p w:rsidR="0079556F" w:rsidRDefault="0079556F" w:rsidP="00FF27CD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tbl>
      <w:tblPr>
        <w:tblW w:w="7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2120"/>
        <w:gridCol w:w="1960"/>
        <w:gridCol w:w="1200"/>
      </w:tblGrid>
      <w:tr w:rsidR="00B04086" w:rsidRPr="00B04086" w:rsidTr="00B04086">
        <w:trPr>
          <w:trHeight w:val="255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Áreas De Oportunidad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Apoyos Internos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Apoyos Externos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2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2"/>
                <w:szCs w:val="22"/>
                <w:lang w:val="es-MX"/>
              </w:rPr>
              <w:t xml:space="preserve">Total </w:t>
            </w:r>
          </w:p>
        </w:tc>
      </w:tr>
      <w:tr w:rsidR="00B04086" w:rsidRPr="00B04086" w:rsidTr="00B04086">
        <w:trPr>
          <w:trHeight w:val="255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Solicitud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2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2"/>
                <w:szCs w:val="22"/>
                <w:lang w:val="es-MX"/>
              </w:rPr>
              <w:t>103</w:t>
            </w:r>
          </w:p>
        </w:tc>
      </w:tr>
      <w:tr w:rsidR="00B04086" w:rsidRPr="00B04086" w:rsidTr="00B04086">
        <w:trPr>
          <w:trHeight w:val="255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Autorización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2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2"/>
                <w:szCs w:val="22"/>
                <w:lang w:val="es-MX"/>
              </w:rPr>
              <w:t>58</w:t>
            </w:r>
          </w:p>
        </w:tc>
      </w:tr>
      <w:tr w:rsidR="00B04086" w:rsidRPr="00B04086" w:rsidTr="00B04086">
        <w:trPr>
          <w:trHeight w:val="255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Ministración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2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2"/>
                <w:szCs w:val="22"/>
                <w:lang w:val="es-MX"/>
              </w:rPr>
              <w:t>26</w:t>
            </w:r>
          </w:p>
        </w:tc>
      </w:tr>
      <w:tr w:rsidR="00B04086" w:rsidRPr="00B04086" w:rsidTr="00B04086">
        <w:trPr>
          <w:trHeight w:val="255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Comprobación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103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2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2"/>
                <w:szCs w:val="22"/>
                <w:lang w:val="es-MX"/>
              </w:rPr>
              <w:t>121</w:t>
            </w:r>
          </w:p>
        </w:tc>
      </w:tr>
      <w:tr w:rsidR="00B04086" w:rsidRPr="00B04086" w:rsidTr="00B04086">
        <w:trPr>
          <w:trHeight w:val="255"/>
          <w:jc w:val="center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Otros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2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2"/>
                <w:szCs w:val="22"/>
                <w:lang w:val="es-MX"/>
              </w:rPr>
              <w:t>33</w:t>
            </w:r>
          </w:p>
        </w:tc>
      </w:tr>
      <w:tr w:rsidR="00B04086" w:rsidRPr="00B04086" w:rsidTr="00B04086">
        <w:trPr>
          <w:trHeight w:val="255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116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0"/>
                <w:szCs w:val="22"/>
                <w:lang w:val="es-MX"/>
              </w:rPr>
              <w:t>225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086" w:rsidRPr="00B04086" w:rsidRDefault="00B04086" w:rsidP="00B04086">
            <w:pPr>
              <w:jc w:val="center"/>
              <w:rPr>
                <w:rFonts w:ascii="Adobe Caslon Pro" w:hAnsi="Adobe Caslon Pro" w:cs="Arial"/>
                <w:sz w:val="22"/>
                <w:szCs w:val="22"/>
                <w:lang w:val="es-MX"/>
              </w:rPr>
            </w:pPr>
            <w:r w:rsidRPr="00B04086">
              <w:rPr>
                <w:rFonts w:ascii="Adobe Caslon Pro" w:hAnsi="Adobe Caslon Pro" w:cs="Arial"/>
                <w:sz w:val="22"/>
                <w:szCs w:val="22"/>
                <w:lang w:val="es-MX"/>
              </w:rPr>
              <w:t>341</w:t>
            </w:r>
          </w:p>
        </w:tc>
      </w:tr>
    </w:tbl>
    <w:p w:rsidR="0079556F" w:rsidRDefault="0079556F" w:rsidP="00B04086">
      <w:pPr>
        <w:spacing w:line="276" w:lineRule="auto"/>
        <w:jc w:val="center"/>
        <w:rPr>
          <w:rFonts w:ascii="Adobe Caslon Pro" w:hAnsi="Adobe Caslon Pro" w:cs="Arial"/>
          <w:sz w:val="22"/>
          <w:szCs w:val="22"/>
          <w:lang w:val="es-MX"/>
        </w:rPr>
      </w:pPr>
    </w:p>
    <w:p w:rsidR="0079556F" w:rsidRDefault="0079556F" w:rsidP="00FF27CD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p w:rsidR="0079556F" w:rsidRDefault="0079556F" w:rsidP="00FF27CD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p w:rsidR="00FF27CD" w:rsidRDefault="00FF27CD" w:rsidP="00FF27CD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p w:rsidR="00FF27CD" w:rsidRDefault="00FF27CD" w:rsidP="00FF27CD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  <w:r>
        <w:rPr>
          <w:rFonts w:ascii="Adobe Caslon Pro" w:hAnsi="Adobe Caslon Pro" w:cs="Arial"/>
          <w:sz w:val="22"/>
          <w:szCs w:val="22"/>
          <w:lang w:val="es-MX"/>
        </w:rPr>
        <w:lastRenderedPageBreak/>
        <w:t>Del total de las áreas de oportunidad, se</w:t>
      </w:r>
      <w:r w:rsidR="004013B9">
        <w:rPr>
          <w:rFonts w:ascii="Adobe Caslon Pro" w:hAnsi="Adobe Caslon Pro" w:cs="Arial"/>
          <w:sz w:val="22"/>
          <w:szCs w:val="22"/>
          <w:lang w:val="es-MX"/>
        </w:rPr>
        <w:t xml:space="preserve"> identificaron estas </w:t>
      </w:r>
      <w:r w:rsidR="00D87D98">
        <w:rPr>
          <w:rFonts w:ascii="Adobe Caslon Pro" w:hAnsi="Adobe Caslon Pro" w:cs="Arial"/>
          <w:sz w:val="22"/>
          <w:szCs w:val="22"/>
          <w:lang w:val="es-MX"/>
        </w:rPr>
        <w:t xml:space="preserve">en las Coordinaciones Regionales </w:t>
      </w:r>
      <w:r w:rsidR="004013B9">
        <w:rPr>
          <w:rFonts w:ascii="Adobe Caslon Pro" w:hAnsi="Adobe Caslon Pro" w:cs="Arial"/>
          <w:sz w:val="22"/>
          <w:szCs w:val="22"/>
          <w:lang w:val="es-MX"/>
        </w:rPr>
        <w:t>por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 </w:t>
      </w:r>
      <w:r w:rsidR="002B72DB">
        <w:rPr>
          <w:rFonts w:ascii="Adobe Caslon Pro" w:hAnsi="Adobe Caslon Pro" w:cs="Arial"/>
          <w:sz w:val="22"/>
          <w:szCs w:val="22"/>
          <w:lang w:val="es-MX"/>
        </w:rPr>
        <w:t>los Programas de Apoyos Internos</w:t>
      </w:r>
      <w:r w:rsidR="004013B9">
        <w:rPr>
          <w:rFonts w:ascii="Adobe Caslon Pro" w:hAnsi="Adobe Caslon Pro" w:cs="Arial"/>
          <w:sz w:val="22"/>
          <w:szCs w:val="22"/>
          <w:lang w:val="es-MX"/>
        </w:rPr>
        <w:t>, como se muestran a continuación</w:t>
      </w:r>
      <w:r>
        <w:rPr>
          <w:rFonts w:ascii="Adobe Caslon Pro" w:hAnsi="Adobe Caslon Pro" w:cs="Arial"/>
          <w:sz w:val="22"/>
          <w:szCs w:val="22"/>
          <w:lang w:val="es-MX"/>
        </w:rPr>
        <w:t>:</w:t>
      </w:r>
    </w:p>
    <w:p w:rsidR="004F3E23" w:rsidRDefault="004F3E23" w:rsidP="00FF27CD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p w:rsidR="0079556F" w:rsidRPr="002B72DB" w:rsidRDefault="0079556F" w:rsidP="002B72DB">
      <w:pPr>
        <w:jc w:val="center"/>
        <w:rPr>
          <w:rFonts w:ascii="Adobe Caslon Pro" w:hAnsi="Adobe Caslon Pro" w:cs="Arial"/>
          <w:sz w:val="20"/>
          <w:szCs w:val="22"/>
          <w:lang w:val="es-MX"/>
        </w:rPr>
      </w:pPr>
    </w:p>
    <w:tbl>
      <w:tblPr>
        <w:tblW w:w="86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5"/>
        <w:gridCol w:w="1274"/>
        <w:gridCol w:w="1276"/>
        <w:gridCol w:w="1445"/>
        <w:gridCol w:w="852"/>
        <w:gridCol w:w="1134"/>
      </w:tblGrid>
      <w:tr w:rsidR="002B72DB" w:rsidRPr="00377A1E" w:rsidTr="002B72DB">
        <w:trPr>
          <w:trHeight w:val="339"/>
          <w:jc w:val="center"/>
        </w:trPr>
        <w:tc>
          <w:tcPr>
            <w:tcW w:w="86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9D9D9"/>
            <w:vAlign w:val="center"/>
            <w:hideMark/>
          </w:tcPr>
          <w:p w:rsidR="002B72DB" w:rsidRPr="00377A1E" w:rsidRDefault="005B18D0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>Áreas de o</w:t>
            </w:r>
            <w:r w:rsidR="00C071C6">
              <w:rPr>
                <w:rFonts w:ascii="Adobe Caslon Pro" w:hAnsi="Adobe Caslon Pro" w:cs="Arial"/>
                <w:sz w:val="20"/>
                <w:szCs w:val="22"/>
                <w:lang w:val="es-MX"/>
              </w:rPr>
              <w:t>portunidad p</w:t>
            </w: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>or e</w:t>
            </w:r>
            <w:r w:rsidR="002B72DB"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tapa</w:t>
            </w: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 de los A</w:t>
            </w:r>
            <w:r w:rsidR="00C071C6">
              <w:rPr>
                <w:rFonts w:ascii="Adobe Caslon Pro" w:hAnsi="Adobe Caslon Pro" w:cs="Arial"/>
                <w:sz w:val="20"/>
                <w:szCs w:val="22"/>
                <w:lang w:val="es-MX"/>
              </w:rPr>
              <w:t>poyos internos</w:t>
            </w:r>
          </w:p>
        </w:tc>
      </w:tr>
      <w:tr w:rsidR="002B72DB" w:rsidRPr="002B72DB" w:rsidTr="002B72DB">
        <w:trPr>
          <w:trHeight w:val="494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9D9D9"/>
            <w:vAlign w:val="center"/>
            <w:hideMark/>
          </w:tcPr>
          <w:p w:rsidR="002B72DB" w:rsidRPr="00377A1E" w:rsidRDefault="002B72DB" w:rsidP="002B72DB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Coordinación Regional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Solicitud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Autorización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Ministración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noWrap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Comprobación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noWrap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Otros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TOTAL</w:t>
            </w:r>
          </w:p>
        </w:tc>
      </w:tr>
      <w:tr w:rsidR="002B72DB" w:rsidRPr="002B72DB" w:rsidTr="002B72DB">
        <w:trPr>
          <w:trHeight w:val="339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:rsidR="002B72DB" w:rsidRPr="00377A1E" w:rsidRDefault="002B72DB" w:rsidP="002B72DB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Centro Occidente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29</w:t>
            </w:r>
          </w:p>
        </w:tc>
      </w:tr>
      <w:tr w:rsidR="002B72DB" w:rsidRPr="002B72DB" w:rsidTr="002B72DB">
        <w:trPr>
          <w:trHeight w:val="339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:rsidR="002B72DB" w:rsidRPr="00377A1E" w:rsidRDefault="002B72DB" w:rsidP="002B72DB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Corporativo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8</w:t>
            </w:r>
          </w:p>
        </w:tc>
      </w:tr>
      <w:tr w:rsidR="002B72DB" w:rsidRPr="002B72DB" w:rsidTr="002B72DB">
        <w:trPr>
          <w:trHeight w:val="339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:rsidR="002B72DB" w:rsidRPr="00377A1E" w:rsidRDefault="002B72DB" w:rsidP="002B72DB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Noroeste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0</w:t>
            </w:r>
          </w:p>
        </w:tc>
      </w:tr>
      <w:tr w:rsidR="002B72DB" w:rsidRPr="002B72DB" w:rsidTr="002B72DB">
        <w:trPr>
          <w:trHeight w:val="339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:rsidR="002B72DB" w:rsidRPr="00377A1E" w:rsidRDefault="002B72DB" w:rsidP="002B72DB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Norte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31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53</w:t>
            </w:r>
          </w:p>
        </w:tc>
      </w:tr>
      <w:tr w:rsidR="002B72DB" w:rsidRPr="002B72DB" w:rsidTr="002B72DB">
        <w:trPr>
          <w:trHeight w:val="339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:rsidR="002B72DB" w:rsidRPr="00377A1E" w:rsidRDefault="002B72DB" w:rsidP="002B72DB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Sur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20</w:t>
            </w:r>
          </w:p>
        </w:tc>
      </w:tr>
      <w:tr w:rsidR="002B72DB" w:rsidRPr="002B72DB" w:rsidTr="002B72DB">
        <w:trPr>
          <w:trHeight w:val="339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:rsidR="002B72DB" w:rsidRPr="00377A1E" w:rsidRDefault="002B72DB" w:rsidP="002B72DB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Sureste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6</w:t>
            </w:r>
          </w:p>
        </w:tc>
      </w:tr>
      <w:tr w:rsidR="002B72DB" w:rsidRPr="002B72DB" w:rsidTr="002B72DB">
        <w:trPr>
          <w:trHeight w:val="339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:rsidR="002B72DB" w:rsidRPr="00377A1E" w:rsidRDefault="002B72DB" w:rsidP="002B72DB">
            <w:pPr>
              <w:jc w:val="right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TOTAL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55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sz w:val="20"/>
                <w:szCs w:val="22"/>
                <w:lang w:val="es-MX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DB" w:rsidRPr="00377A1E" w:rsidRDefault="002B72DB" w:rsidP="002B72DB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377A1E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116</w:t>
            </w:r>
          </w:p>
        </w:tc>
      </w:tr>
    </w:tbl>
    <w:p w:rsidR="004F3E23" w:rsidRDefault="004F3E23" w:rsidP="00FF27CD">
      <w:pPr>
        <w:spacing w:line="276" w:lineRule="auto"/>
        <w:jc w:val="both"/>
        <w:rPr>
          <w:sz w:val="20"/>
          <w:lang w:val="es-MX"/>
        </w:rPr>
      </w:pPr>
    </w:p>
    <w:p w:rsidR="00377A1E" w:rsidRPr="00952841" w:rsidRDefault="00377A1E" w:rsidP="00E400CB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B72DB">
        <w:rPr>
          <w:lang w:val="es-MX"/>
        </w:rPr>
        <w:fldChar w:fldCharType="begin"/>
      </w:r>
      <w:r w:rsidRPr="002B72DB">
        <w:rPr>
          <w:lang w:val="es-MX"/>
        </w:rPr>
        <w:instrText xml:space="preserve"> LINK </w:instrText>
      </w:r>
      <w:r w:rsidR="002F5664">
        <w:rPr>
          <w:lang w:val="es-MX"/>
        </w:rPr>
        <w:instrText xml:space="preserve">Excel.Sheet.12 "C:\\Users\\kisoriano\\Documents\\FND\\CP 2017\\INFORME DE OBSERVACIONES\\TABLAS GRAFICAS ´PARA INFORME.xlsx" INTERNOS!F2C1:F10C9 </w:instrText>
      </w:r>
      <w:r w:rsidRPr="002B72DB">
        <w:rPr>
          <w:lang w:val="es-MX"/>
        </w:rPr>
        <w:instrText xml:space="preserve">\a \f 4 \h  \* MERGEFORMAT </w:instrText>
      </w:r>
      <w:r w:rsidR="002F5664">
        <w:rPr>
          <w:lang w:val="es-MX"/>
        </w:rPr>
        <w:fldChar w:fldCharType="separate"/>
      </w:r>
      <w:r w:rsidRPr="002B72DB">
        <w:rPr>
          <w:lang w:val="es-MX"/>
        </w:rPr>
        <w:fldChar w:fldCharType="end"/>
      </w:r>
    </w:p>
    <w:p w:rsidR="00022E3B" w:rsidRDefault="00022E3B" w:rsidP="00022E3B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  <w:r>
        <w:rPr>
          <w:rFonts w:ascii="Adobe Caslon Pro" w:hAnsi="Adobe Caslon Pro" w:cs="Arial"/>
          <w:sz w:val="22"/>
          <w:szCs w:val="22"/>
          <w:lang w:val="es-MX"/>
        </w:rPr>
        <w:t xml:space="preserve">Como se puede apreciar, los rubros que presentan el mayor número de áreas de oportunidad, corresponden a: </w:t>
      </w:r>
      <w:r w:rsidR="00F75B49" w:rsidRPr="005A3D4A">
        <w:rPr>
          <w:rFonts w:ascii="Adobe Caslon Pro" w:hAnsi="Adobe Caslon Pro" w:cs="Arial"/>
          <w:b/>
          <w:sz w:val="22"/>
          <w:szCs w:val="22"/>
          <w:lang w:val="es-MX"/>
        </w:rPr>
        <w:t>(solicitud</w:t>
      </w:r>
      <w:r w:rsidR="00F75B49">
        <w:rPr>
          <w:rFonts w:ascii="Adobe Caslon Pro" w:hAnsi="Adobe Caslon Pro" w:cs="Arial"/>
          <w:b/>
          <w:sz w:val="22"/>
          <w:szCs w:val="22"/>
          <w:lang w:val="es-MX"/>
        </w:rPr>
        <w:t>)</w:t>
      </w:r>
      <w:r w:rsidR="00F75B49">
        <w:rPr>
          <w:rFonts w:ascii="Adobe Caslon Pro" w:hAnsi="Adobe Caslon Pro" w:cs="Arial"/>
          <w:sz w:val="22"/>
          <w:szCs w:val="22"/>
          <w:lang w:val="es-MX"/>
        </w:rPr>
        <w:t xml:space="preserve"> </w:t>
      </w:r>
      <w:r w:rsidR="004F3E23">
        <w:rPr>
          <w:rFonts w:ascii="Adobe Caslon Pro" w:hAnsi="Adobe Caslon Pro" w:cs="Arial"/>
          <w:sz w:val="22"/>
          <w:szCs w:val="22"/>
          <w:lang w:val="es-MX"/>
        </w:rPr>
        <w:t xml:space="preserve">con el </w:t>
      </w:r>
      <w:r w:rsidR="00F75B49">
        <w:rPr>
          <w:rFonts w:ascii="Adobe Caslon Pro" w:hAnsi="Adobe Caslon Pro" w:cs="Arial"/>
          <w:sz w:val="22"/>
          <w:szCs w:val="22"/>
          <w:lang w:val="es-MX"/>
        </w:rPr>
        <w:t>47.41</w:t>
      </w:r>
      <w:r w:rsidR="004F3E23">
        <w:rPr>
          <w:rFonts w:ascii="Adobe Caslon Pro" w:hAnsi="Adobe Caslon Pro" w:cs="Arial"/>
          <w:sz w:val="22"/>
          <w:szCs w:val="22"/>
          <w:lang w:val="es-MX"/>
        </w:rPr>
        <w:t>%</w:t>
      </w:r>
      <w:r w:rsidR="00F75B49">
        <w:rPr>
          <w:rFonts w:ascii="Adobe Caslon Pro" w:hAnsi="Adobe Caslon Pro" w:cs="Arial"/>
          <w:sz w:val="22"/>
          <w:szCs w:val="22"/>
          <w:lang w:val="es-MX"/>
        </w:rPr>
        <w:t>,</w:t>
      </w:r>
      <w:r w:rsidR="00F75B49" w:rsidRPr="005A3D4A">
        <w:rPr>
          <w:rFonts w:ascii="Adobe Caslon Pro" w:hAnsi="Adobe Caslon Pro" w:cs="Arial"/>
          <w:b/>
          <w:sz w:val="22"/>
          <w:szCs w:val="22"/>
          <w:lang w:val="es-MX"/>
        </w:rPr>
        <w:t xml:space="preserve"> (autorización</w:t>
      </w:r>
      <w:r w:rsidR="00F75B49">
        <w:rPr>
          <w:rFonts w:ascii="Adobe Caslon Pro" w:hAnsi="Adobe Caslon Pro" w:cs="Arial"/>
          <w:b/>
          <w:sz w:val="22"/>
          <w:szCs w:val="22"/>
          <w:lang w:val="es-MX"/>
        </w:rPr>
        <w:t>)</w:t>
      </w:r>
      <w:r w:rsidR="00F75B49">
        <w:rPr>
          <w:rFonts w:ascii="Adobe Caslon Pro" w:hAnsi="Adobe Caslon Pro" w:cs="Arial"/>
          <w:sz w:val="22"/>
          <w:szCs w:val="22"/>
          <w:lang w:val="es-MX"/>
        </w:rPr>
        <w:t xml:space="preserve"> </w:t>
      </w:r>
      <w:r w:rsidR="004F3E23">
        <w:rPr>
          <w:rFonts w:ascii="Adobe Caslon Pro" w:hAnsi="Adobe Caslon Pro" w:cs="Arial"/>
          <w:sz w:val="22"/>
          <w:szCs w:val="22"/>
          <w:lang w:val="es-MX"/>
        </w:rPr>
        <w:t xml:space="preserve">con el </w:t>
      </w:r>
      <w:r w:rsidR="00F75B49">
        <w:rPr>
          <w:rFonts w:ascii="Adobe Caslon Pro" w:hAnsi="Adobe Caslon Pro" w:cs="Arial"/>
          <w:sz w:val="22"/>
          <w:szCs w:val="22"/>
          <w:lang w:val="es-MX"/>
        </w:rPr>
        <w:t xml:space="preserve">17.24%, </w:t>
      </w:r>
      <w:r w:rsidR="000F472A">
        <w:rPr>
          <w:rFonts w:ascii="Adobe Caslon Pro" w:hAnsi="Adobe Caslon Pro" w:cs="Arial"/>
          <w:b/>
          <w:sz w:val="22"/>
          <w:szCs w:val="22"/>
          <w:lang w:val="es-MX"/>
        </w:rPr>
        <w:t>(ministr</w:t>
      </w:r>
      <w:r w:rsidRPr="005A3D4A">
        <w:rPr>
          <w:rFonts w:ascii="Adobe Caslon Pro" w:hAnsi="Adobe Caslon Pro" w:cs="Arial"/>
          <w:b/>
          <w:sz w:val="22"/>
          <w:szCs w:val="22"/>
          <w:lang w:val="es-MX"/>
        </w:rPr>
        <w:t>ación</w:t>
      </w:r>
      <w:r>
        <w:rPr>
          <w:rFonts w:ascii="Adobe Caslon Pro" w:hAnsi="Adobe Caslon Pro" w:cs="Arial"/>
          <w:b/>
          <w:sz w:val="22"/>
          <w:szCs w:val="22"/>
          <w:lang w:val="es-MX"/>
        </w:rPr>
        <w:t>)</w:t>
      </w:r>
      <w:r w:rsidR="000F472A">
        <w:rPr>
          <w:rFonts w:ascii="Adobe Caslon Pro" w:hAnsi="Adobe Caslon Pro" w:cs="Arial"/>
          <w:sz w:val="22"/>
          <w:szCs w:val="22"/>
          <w:lang w:val="es-MX"/>
        </w:rPr>
        <w:t xml:space="preserve"> con el 16.38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%; </w:t>
      </w:r>
      <w:r w:rsidR="000F472A" w:rsidRPr="005A3D4A">
        <w:rPr>
          <w:rFonts w:ascii="Adobe Caslon Pro" w:hAnsi="Adobe Caslon Pro" w:cs="Arial"/>
          <w:b/>
          <w:sz w:val="22"/>
          <w:szCs w:val="22"/>
          <w:lang w:val="es-MX"/>
        </w:rPr>
        <w:t>(comprobación</w:t>
      </w:r>
      <w:r w:rsidR="000F472A">
        <w:rPr>
          <w:rFonts w:ascii="Adobe Caslon Pro" w:hAnsi="Adobe Caslon Pro" w:cs="Arial"/>
          <w:b/>
          <w:sz w:val="22"/>
          <w:szCs w:val="22"/>
          <w:lang w:val="es-MX"/>
        </w:rPr>
        <w:t xml:space="preserve">) </w:t>
      </w:r>
      <w:r w:rsidR="000F472A">
        <w:rPr>
          <w:rFonts w:ascii="Adobe Caslon Pro" w:hAnsi="Adobe Caslon Pro" w:cs="Arial"/>
          <w:sz w:val="22"/>
          <w:szCs w:val="22"/>
          <w:lang w:val="es-MX"/>
        </w:rPr>
        <w:t xml:space="preserve">con el 15.52% </w:t>
      </w:r>
      <w:r w:rsidR="000F472A">
        <w:rPr>
          <w:rFonts w:ascii="Adobe Caslon Pro" w:hAnsi="Adobe Caslon Pro" w:cs="Arial"/>
          <w:b/>
          <w:sz w:val="22"/>
          <w:szCs w:val="22"/>
          <w:lang w:val="es-MX"/>
        </w:rPr>
        <w:t>y</w:t>
      </w:r>
      <w:r w:rsidR="000F472A">
        <w:rPr>
          <w:rFonts w:ascii="Adobe Caslon Pro" w:hAnsi="Adobe Caslon Pro" w:cs="Arial"/>
          <w:sz w:val="22"/>
          <w:szCs w:val="22"/>
          <w:lang w:val="es-MX"/>
        </w:rPr>
        <w:t xml:space="preserve"> con el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 porcentaje mínimo en otras áreas de oportunidad identificadas </w:t>
      </w:r>
      <w:r>
        <w:rPr>
          <w:rFonts w:ascii="Adobe Caslon Pro" w:hAnsi="Adobe Caslon Pro" w:cs="Arial"/>
          <w:b/>
          <w:sz w:val="22"/>
          <w:szCs w:val="22"/>
          <w:lang w:val="es-MX"/>
        </w:rPr>
        <w:t xml:space="preserve">(otros) </w:t>
      </w:r>
      <w:r w:rsidR="004F3E23" w:rsidRPr="004F3E23">
        <w:rPr>
          <w:rFonts w:ascii="Adobe Caslon Pro" w:hAnsi="Adobe Caslon Pro" w:cs="Arial"/>
          <w:sz w:val="22"/>
          <w:szCs w:val="22"/>
          <w:lang w:val="es-MX"/>
        </w:rPr>
        <w:t xml:space="preserve">con el </w:t>
      </w:r>
      <w:r w:rsidR="000F472A">
        <w:rPr>
          <w:rFonts w:ascii="Adobe Caslon Pro" w:hAnsi="Adobe Caslon Pro" w:cs="Arial"/>
          <w:sz w:val="22"/>
          <w:szCs w:val="22"/>
          <w:lang w:val="es-MX"/>
        </w:rPr>
        <w:t>3.45</w:t>
      </w:r>
      <w:r>
        <w:rPr>
          <w:rFonts w:ascii="Adobe Caslon Pro" w:hAnsi="Adobe Caslon Pro" w:cs="Arial"/>
          <w:sz w:val="22"/>
          <w:szCs w:val="22"/>
          <w:lang w:val="es-MX"/>
        </w:rPr>
        <w:t>% del total respectivamente.</w:t>
      </w:r>
    </w:p>
    <w:p w:rsidR="004F3E23" w:rsidRDefault="004F3E23" w:rsidP="00022E3B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p w:rsidR="00022E3B" w:rsidRDefault="00022E3B" w:rsidP="002B72DB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p w:rsidR="002B72DB" w:rsidRDefault="002B72DB" w:rsidP="002B72DB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  <w:r>
        <w:rPr>
          <w:rFonts w:ascii="Adobe Caslon Pro" w:hAnsi="Adobe Caslon Pro" w:cs="Arial"/>
          <w:sz w:val="22"/>
          <w:szCs w:val="22"/>
          <w:lang w:val="es-MX"/>
        </w:rPr>
        <w:t xml:space="preserve">Del total de las áreas de oportunidad, se identificaron estas </w:t>
      </w:r>
      <w:r w:rsidR="00D87D98">
        <w:rPr>
          <w:rFonts w:ascii="Adobe Caslon Pro" w:hAnsi="Adobe Caslon Pro" w:cs="Arial"/>
          <w:sz w:val="22"/>
          <w:szCs w:val="22"/>
          <w:lang w:val="es-MX"/>
        </w:rPr>
        <w:t xml:space="preserve">en las Coordinaciones Regionales </w:t>
      </w:r>
      <w:r>
        <w:rPr>
          <w:rFonts w:ascii="Adobe Caslon Pro" w:hAnsi="Adobe Caslon Pro" w:cs="Arial"/>
          <w:sz w:val="22"/>
          <w:szCs w:val="22"/>
          <w:lang w:val="es-MX"/>
        </w:rPr>
        <w:t>por los Programas de Apoyos Externos, como se muestran a continuación:</w:t>
      </w:r>
    </w:p>
    <w:p w:rsidR="00377A1E" w:rsidRPr="002B72DB" w:rsidRDefault="00377A1E" w:rsidP="00FF27CD">
      <w:pPr>
        <w:spacing w:line="276" w:lineRule="auto"/>
        <w:jc w:val="both"/>
        <w:rPr>
          <w:rFonts w:ascii="Adobe Caslon Pro" w:hAnsi="Adobe Caslon Pro" w:cs="Arial"/>
          <w:sz w:val="18"/>
          <w:szCs w:val="22"/>
          <w:lang w:val="es-MX"/>
        </w:rPr>
      </w:pPr>
    </w:p>
    <w:p w:rsidR="00377A1E" w:rsidRPr="00D17D60" w:rsidRDefault="00377A1E" w:rsidP="00D17D60">
      <w:pPr>
        <w:rPr>
          <w:rFonts w:ascii="Adobe Caslon Pro" w:hAnsi="Adobe Caslon Pro" w:cs="Arial"/>
          <w:sz w:val="20"/>
          <w:szCs w:val="22"/>
          <w:lang w:val="es-MX"/>
        </w:rPr>
      </w:pPr>
    </w:p>
    <w:tbl>
      <w:tblPr>
        <w:tblW w:w="878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1"/>
        <w:gridCol w:w="1121"/>
        <w:gridCol w:w="1570"/>
        <w:gridCol w:w="1353"/>
        <w:gridCol w:w="1418"/>
        <w:gridCol w:w="709"/>
        <w:gridCol w:w="992"/>
      </w:tblGrid>
      <w:tr w:rsidR="00D87D98" w:rsidRPr="00D17D60" w:rsidTr="00CF2F77">
        <w:trPr>
          <w:trHeight w:val="330"/>
          <w:jc w:val="center"/>
        </w:trPr>
        <w:tc>
          <w:tcPr>
            <w:tcW w:w="87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DEBF7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C071C6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>Áreas de Oportunidad p</w:t>
            </w:r>
            <w:r w:rsidR="00D17D60"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or Etapa</w:t>
            </w: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 de apoyos externos</w:t>
            </w:r>
          </w:p>
        </w:tc>
      </w:tr>
      <w:tr w:rsidR="00CF2F77" w:rsidRPr="00D17D60" w:rsidTr="00CF2F77">
        <w:trPr>
          <w:trHeight w:val="480"/>
          <w:jc w:val="center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17D60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Coordinación Regional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17D60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Solicitud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17D60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Autorización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17D60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Ministración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17D60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Comprobación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17D60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Otros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17D60" w:rsidP="00D17D60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Total</w:t>
            </w:r>
          </w:p>
        </w:tc>
      </w:tr>
      <w:tr w:rsidR="00CF2F77" w:rsidRPr="00D17D60" w:rsidTr="00CF2F7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Centro Occidente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24</w:t>
            </w:r>
          </w:p>
        </w:tc>
      </w:tr>
      <w:tr w:rsidR="00CF2F77" w:rsidRPr="00D17D60" w:rsidTr="00CF2F7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Corporativo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184934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>-</w:t>
            </w:r>
            <w:bookmarkStart w:id="0" w:name="_GoBack"/>
            <w:bookmarkEnd w:id="0"/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184934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184934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184934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184934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>
              <w:rPr>
                <w:rFonts w:ascii="Adobe Caslon Pro" w:hAnsi="Adobe Caslon Pro" w:cs="Arial"/>
                <w:sz w:val="20"/>
                <w:szCs w:val="22"/>
                <w:lang w:val="es-MX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0</w:t>
            </w:r>
          </w:p>
        </w:tc>
      </w:tr>
      <w:tr w:rsidR="00CF2F77" w:rsidRPr="00D17D60" w:rsidTr="00CF2F7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Noroeste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10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24</w:t>
            </w:r>
          </w:p>
        </w:tc>
      </w:tr>
      <w:tr w:rsidR="00CF2F77" w:rsidRPr="00D17D60" w:rsidTr="00CF2F7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 xml:space="preserve">Norte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14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40</w:t>
            </w:r>
          </w:p>
        </w:tc>
      </w:tr>
      <w:tr w:rsidR="00CF2F77" w:rsidRPr="00D17D60" w:rsidTr="00CF2F7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Sur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11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22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122</w:t>
            </w:r>
          </w:p>
        </w:tc>
      </w:tr>
      <w:tr w:rsidR="00CF2F77" w:rsidRPr="00D17D60" w:rsidTr="00CF2F7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>
            <w:pPr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Sureste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15</w:t>
            </w:r>
          </w:p>
        </w:tc>
      </w:tr>
      <w:tr w:rsidR="00CF2F77" w:rsidRPr="00D17D60" w:rsidTr="00CF2F7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right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TOTAL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48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38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sz w:val="20"/>
                <w:szCs w:val="22"/>
                <w:lang w:val="es-MX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87D98" w:rsidRPr="00D17D60" w:rsidRDefault="00D87D98" w:rsidP="00D17D60">
            <w:pPr>
              <w:jc w:val="center"/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</w:pPr>
            <w:r w:rsidRPr="00D17D60">
              <w:rPr>
                <w:rFonts w:ascii="Adobe Caslon Pro" w:hAnsi="Adobe Caslon Pro" w:cs="Arial"/>
                <w:b/>
                <w:sz w:val="20"/>
                <w:szCs w:val="22"/>
                <w:lang w:val="es-MX"/>
              </w:rPr>
              <w:t>225</w:t>
            </w:r>
          </w:p>
        </w:tc>
      </w:tr>
    </w:tbl>
    <w:p w:rsidR="00952841" w:rsidRDefault="00D87D98" w:rsidP="00E400CB">
      <w:pP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D87D98">
        <w:rPr>
          <w:lang w:val="es-MX"/>
        </w:rPr>
        <w:fldChar w:fldCharType="begin"/>
      </w:r>
      <w:r w:rsidRPr="00D87D98">
        <w:rPr>
          <w:lang w:val="es-MX"/>
        </w:rPr>
        <w:instrText xml:space="preserve"> LINK </w:instrText>
      </w:r>
      <w:r w:rsidR="002F5664">
        <w:rPr>
          <w:lang w:val="es-MX"/>
        </w:rPr>
        <w:instrText xml:space="preserve">Excel.Sheet.12 "C:\\Users\\kisoriano\\Documents\\FND\\CP 2017\\INFORME DE OBSERVACIONES\\TABLAS GRAFICAS ´PARA INFORME.xlsx" "EXTERNOS !F2C1:F10C9" </w:instrText>
      </w:r>
      <w:r w:rsidRPr="00D87D98">
        <w:rPr>
          <w:lang w:val="es-MX"/>
        </w:rPr>
        <w:instrText xml:space="preserve">\a \f 4 \h </w:instrText>
      </w:r>
      <w:r>
        <w:rPr>
          <w:lang w:val="es-MX"/>
        </w:rPr>
        <w:instrText xml:space="preserve"> \* MERGEFORMAT </w:instrText>
      </w:r>
      <w:r w:rsidRPr="00D87D98">
        <w:rPr>
          <w:lang w:val="es-MX"/>
        </w:rPr>
        <w:fldChar w:fldCharType="separate"/>
      </w:r>
    </w:p>
    <w:p w:rsidR="004F3E23" w:rsidRDefault="00D87D98" w:rsidP="00E400CB">
      <w:pPr>
        <w:rPr>
          <w:rFonts w:ascii="Adobe Caslon Pro" w:hAnsi="Adobe Caslon Pro" w:cs="Arial"/>
          <w:sz w:val="20"/>
          <w:szCs w:val="22"/>
          <w:lang w:val="es-MX"/>
        </w:rPr>
      </w:pPr>
      <w:r w:rsidRPr="00D87D98">
        <w:rPr>
          <w:lang w:val="es-MX"/>
        </w:rPr>
        <w:fldChar w:fldCharType="end"/>
      </w:r>
    </w:p>
    <w:p w:rsidR="004F3E23" w:rsidRDefault="004F3E23" w:rsidP="004F3E23">
      <w:pPr>
        <w:spacing w:line="276" w:lineRule="auto"/>
        <w:jc w:val="both"/>
        <w:rPr>
          <w:rFonts w:ascii="Adobe Caslon Pro" w:hAnsi="Adobe Caslon Pro" w:cs="Arial"/>
          <w:sz w:val="20"/>
          <w:szCs w:val="22"/>
          <w:lang w:val="es-MX"/>
        </w:rPr>
      </w:pPr>
    </w:p>
    <w:p w:rsidR="00FB0C82" w:rsidRDefault="00FB0C82" w:rsidP="004F3E23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</w:p>
    <w:p w:rsidR="004F3E23" w:rsidRDefault="004F3E23" w:rsidP="004F3E23">
      <w:pPr>
        <w:spacing w:line="276" w:lineRule="auto"/>
        <w:jc w:val="both"/>
        <w:rPr>
          <w:rFonts w:ascii="Adobe Caslon Pro" w:hAnsi="Adobe Caslon Pro" w:cs="Arial"/>
          <w:sz w:val="22"/>
          <w:szCs w:val="22"/>
          <w:lang w:val="es-MX"/>
        </w:rPr>
      </w:pPr>
      <w:r>
        <w:rPr>
          <w:rFonts w:ascii="Adobe Caslon Pro" w:hAnsi="Adobe Caslon Pro" w:cs="Arial"/>
          <w:sz w:val="22"/>
          <w:szCs w:val="22"/>
          <w:lang w:val="es-MX"/>
        </w:rPr>
        <w:t xml:space="preserve">Como se puede apreciar, los rubros que presentan el mayor número de áreas de oportunidad, corresponden a: </w:t>
      </w:r>
      <w:r w:rsidRPr="005A3D4A">
        <w:rPr>
          <w:rFonts w:ascii="Adobe Caslon Pro" w:hAnsi="Adobe Caslon Pro" w:cs="Arial"/>
          <w:b/>
          <w:sz w:val="22"/>
          <w:szCs w:val="22"/>
          <w:lang w:val="es-MX"/>
        </w:rPr>
        <w:t>(comprobación</w:t>
      </w:r>
      <w:r>
        <w:rPr>
          <w:rFonts w:ascii="Adobe Caslon Pro" w:hAnsi="Adobe Caslon Pro" w:cs="Arial"/>
          <w:b/>
          <w:sz w:val="22"/>
          <w:szCs w:val="22"/>
          <w:lang w:val="es-MX"/>
        </w:rPr>
        <w:t xml:space="preserve">) 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con el 45.78%, </w:t>
      </w:r>
      <w:r>
        <w:rPr>
          <w:rFonts w:ascii="Adobe Caslon Pro" w:hAnsi="Adobe Caslon Pro" w:cs="Arial"/>
          <w:b/>
          <w:sz w:val="22"/>
          <w:szCs w:val="22"/>
          <w:lang w:val="es-MX"/>
        </w:rPr>
        <w:t>(so</w:t>
      </w:r>
      <w:r w:rsidRPr="005A3D4A">
        <w:rPr>
          <w:rFonts w:ascii="Adobe Caslon Pro" w:hAnsi="Adobe Caslon Pro" w:cs="Arial"/>
          <w:b/>
          <w:sz w:val="22"/>
          <w:szCs w:val="22"/>
          <w:lang w:val="es-MX"/>
        </w:rPr>
        <w:t>licitud</w:t>
      </w:r>
      <w:r>
        <w:rPr>
          <w:rFonts w:ascii="Adobe Caslon Pro" w:hAnsi="Adobe Caslon Pro" w:cs="Arial"/>
          <w:b/>
          <w:sz w:val="22"/>
          <w:szCs w:val="22"/>
          <w:lang w:val="es-MX"/>
        </w:rPr>
        <w:t>)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 con el 21.33%,</w:t>
      </w:r>
      <w:r w:rsidRPr="005A3D4A">
        <w:rPr>
          <w:rFonts w:ascii="Adobe Caslon Pro" w:hAnsi="Adobe Caslon Pro" w:cs="Arial"/>
          <w:b/>
          <w:sz w:val="22"/>
          <w:szCs w:val="22"/>
          <w:lang w:val="es-MX"/>
        </w:rPr>
        <w:t xml:space="preserve"> (autorización</w:t>
      </w:r>
      <w:r>
        <w:rPr>
          <w:rFonts w:ascii="Adobe Caslon Pro" w:hAnsi="Adobe Caslon Pro" w:cs="Arial"/>
          <w:b/>
          <w:sz w:val="22"/>
          <w:szCs w:val="22"/>
          <w:lang w:val="es-MX"/>
        </w:rPr>
        <w:t>)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 16.89%, </w:t>
      </w:r>
      <w:r>
        <w:rPr>
          <w:rFonts w:ascii="Adobe Caslon Pro" w:hAnsi="Adobe Caslon Pro" w:cs="Arial"/>
          <w:b/>
          <w:sz w:val="22"/>
          <w:szCs w:val="22"/>
          <w:lang w:val="es-MX"/>
        </w:rPr>
        <w:t>(otros)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 con el 12.89</w:t>
      </w:r>
      <w:r w:rsidRPr="004F3E23">
        <w:rPr>
          <w:rFonts w:ascii="Adobe Caslon Pro" w:hAnsi="Adobe Caslon Pro" w:cs="Arial"/>
          <w:sz w:val="22"/>
          <w:szCs w:val="22"/>
          <w:lang w:val="es-MX"/>
        </w:rPr>
        <w:t>%; y</w:t>
      </w:r>
      <w:r>
        <w:rPr>
          <w:rFonts w:ascii="Adobe Caslon Pro" w:hAnsi="Adobe Caslon Pro" w:cs="Arial"/>
          <w:sz w:val="22"/>
          <w:szCs w:val="22"/>
          <w:lang w:val="es-MX"/>
        </w:rPr>
        <w:t xml:space="preserve"> con el porcentaje mínimo </w:t>
      </w:r>
      <w:r>
        <w:rPr>
          <w:rFonts w:ascii="Adobe Caslon Pro" w:hAnsi="Adobe Caslon Pro" w:cs="Arial"/>
          <w:b/>
          <w:sz w:val="22"/>
          <w:szCs w:val="22"/>
          <w:lang w:val="es-MX"/>
        </w:rPr>
        <w:t xml:space="preserve">(ministración) </w:t>
      </w:r>
      <w:r w:rsidRPr="004F3E23">
        <w:rPr>
          <w:rFonts w:ascii="Adobe Caslon Pro" w:hAnsi="Adobe Caslon Pro" w:cs="Arial"/>
          <w:sz w:val="22"/>
          <w:szCs w:val="22"/>
          <w:lang w:val="es-MX"/>
        </w:rPr>
        <w:t>con el</w:t>
      </w:r>
      <w:r>
        <w:rPr>
          <w:rFonts w:ascii="Adobe Caslon Pro" w:hAnsi="Adobe Caslon Pro" w:cs="Arial"/>
          <w:b/>
          <w:sz w:val="22"/>
          <w:szCs w:val="22"/>
          <w:lang w:val="es-MX"/>
        </w:rPr>
        <w:t xml:space="preserve"> </w:t>
      </w:r>
      <w:r>
        <w:rPr>
          <w:rFonts w:ascii="Adobe Caslon Pro" w:hAnsi="Adobe Caslon Pro" w:cs="Arial"/>
          <w:sz w:val="22"/>
          <w:szCs w:val="22"/>
          <w:lang w:val="es-MX"/>
        </w:rPr>
        <w:t>3.11% del total respectivamente.</w:t>
      </w:r>
    </w:p>
    <w:p w:rsidR="00FF27CD" w:rsidRDefault="00FF27CD" w:rsidP="00FF27CD">
      <w:pPr>
        <w:spacing w:line="276" w:lineRule="auto"/>
        <w:jc w:val="both"/>
        <w:rPr>
          <w:rFonts w:ascii="Adobe Caslon Pro" w:hAnsi="Adobe Caslon Pro" w:cs="Arial"/>
          <w:sz w:val="20"/>
          <w:szCs w:val="22"/>
          <w:lang w:val="es-MX"/>
        </w:rPr>
      </w:pPr>
    </w:p>
    <w:p w:rsidR="005770D7" w:rsidRPr="00532691" w:rsidRDefault="005770D7" w:rsidP="005770D7">
      <w:pPr>
        <w:spacing w:before="240" w:line="360" w:lineRule="auto"/>
        <w:jc w:val="both"/>
        <w:rPr>
          <w:rFonts w:ascii="Adobe Caslon Pro" w:hAnsi="Adobe Caslon Pro" w:cs="Arial"/>
          <w:sz w:val="20"/>
        </w:rPr>
      </w:pPr>
      <w:r w:rsidRPr="00532691">
        <w:rPr>
          <w:rFonts w:ascii="Adobe Caslon Pro" w:hAnsi="Adobe Caslon Pro" w:cs="Arial"/>
          <w:sz w:val="20"/>
        </w:rPr>
        <w:t xml:space="preserve">El estatus de las áreas de oportunidad, se dan a conocer conforme a lo dispuesto en los numerales </w:t>
      </w:r>
      <w:r w:rsidRPr="00532691">
        <w:rPr>
          <w:rFonts w:ascii="Adobe Caslon Pro" w:hAnsi="Adobe Caslon Pro" w:cs="Arial"/>
          <w:b/>
          <w:sz w:val="20"/>
        </w:rPr>
        <w:t xml:space="preserve">5.4, 5.7 y 5.11 </w:t>
      </w:r>
      <w:r w:rsidRPr="00532691">
        <w:rPr>
          <w:rFonts w:ascii="Adobe Caslon Pro" w:hAnsi="Adobe Caslon Pro" w:cs="Arial"/>
          <w:sz w:val="20"/>
        </w:rPr>
        <w:t xml:space="preserve">del apartado </w:t>
      </w:r>
      <w:r w:rsidRPr="00532691">
        <w:rPr>
          <w:rFonts w:ascii="Adobe Caslon Pro" w:hAnsi="Adobe Caslon Pro" w:cs="Arial"/>
          <w:b/>
          <w:sz w:val="20"/>
        </w:rPr>
        <w:t xml:space="preserve">5. Políticas; 6.7, 6.13, 6.18, y 6.23 </w:t>
      </w:r>
      <w:r w:rsidRPr="00532691">
        <w:rPr>
          <w:rFonts w:ascii="Adobe Caslon Pro" w:hAnsi="Adobe Caslon Pro" w:cs="Arial"/>
          <w:sz w:val="20"/>
        </w:rPr>
        <w:t xml:space="preserve">del apartado </w:t>
      </w:r>
      <w:r w:rsidRPr="00532691">
        <w:rPr>
          <w:rFonts w:ascii="Adobe Caslon Pro" w:hAnsi="Adobe Caslon Pro" w:cs="Arial"/>
          <w:b/>
          <w:sz w:val="20"/>
        </w:rPr>
        <w:t>6. Responsabilidades</w:t>
      </w:r>
      <w:r w:rsidRPr="00532691">
        <w:rPr>
          <w:rFonts w:ascii="Adobe Caslon Pro" w:hAnsi="Adobe Caslon Pro" w:cs="Arial"/>
          <w:sz w:val="20"/>
        </w:rPr>
        <w:t xml:space="preserve"> del Manual de Políticas y Procedimientos para el Seguimiento Normativo y la Revisión de Expedientes, de los Programas Operados por la Dirección General Adjunta de Promoción de Negocios y Coordinación Regional; inciso </w:t>
      </w:r>
      <w:r w:rsidRPr="00532691">
        <w:rPr>
          <w:rFonts w:ascii="Adobe Caslon Pro" w:hAnsi="Adobe Caslon Pro" w:cs="Arial"/>
          <w:b/>
          <w:sz w:val="20"/>
        </w:rPr>
        <w:t>j)</w:t>
      </w:r>
      <w:r w:rsidRPr="00532691">
        <w:rPr>
          <w:rFonts w:ascii="Adobe Caslon Pro" w:hAnsi="Adobe Caslon Pro" w:cs="Arial"/>
          <w:sz w:val="20"/>
        </w:rPr>
        <w:t xml:space="preserve"> numeral </w:t>
      </w:r>
      <w:r w:rsidRPr="00532691">
        <w:rPr>
          <w:rFonts w:ascii="Adobe Caslon Pro" w:hAnsi="Adobe Caslon Pro" w:cs="Arial"/>
          <w:b/>
          <w:sz w:val="20"/>
        </w:rPr>
        <w:t>4</w:t>
      </w:r>
      <w:r w:rsidRPr="00532691">
        <w:rPr>
          <w:rFonts w:ascii="Adobe Caslon Pro" w:hAnsi="Adobe Caslon Pro" w:cs="Arial"/>
          <w:sz w:val="20"/>
        </w:rPr>
        <w:t xml:space="preserve"> del apartado </w:t>
      </w:r>
      <w:r w:rsidRPr="00532691">
        <w:rPr>
          <w:rFonts w:ascii="Adobe Caslon Pro" w:hAnsi="Adobe Caslon Pro" w:cs="Arial"/>
          <w:b/>
          <w:sz w:val="20"/>
        </w:rPr>
        <w:t>6. Responsabilidades</w:t>
      </w:r>
      <w:r w:rsidRPr="00532691">
        <w:rPr>
          <w:rFonts w:ascii="Adobe Caslon Pro" w:hAnsi="Adobe Caslon Pro" w:cs="Arial"/>
          <w:sz w:val="20"/>
        </w:rPr>
        <w:t>, del Manual de Procedimientos de Operación de los componentes de Mezcla de Recursos, a fin de que cuente con elementos que le permitan dar seguimiento a las áreas de oportunidad determinadas, o en su caso, determinar las acciones que se consideren procedentes.</w:t>
      </w:r>
    </w:p>
    <w:p w:rsidR="001D243D" w:rsidRDefault="002F5664"/>
    <w:sectPr w:rsidR="001D243D" w:rsidSect="008D221F">
      <w:headerReference w:type="default" r:id="rId8"/>
      <w:footerReference w:type="even" r:id="rId9"/>
      <w:footerReference w:type="default" r:id="rId10"/>
      <w:pgSz w:w="12240" w:h="15840"/>
      <w:pgMar w:top="2552" w:right="758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D57" w:rsidRDefault="00456D57">
      <w:r>
        <w:separator/>
      </w:r>
    </w:p>
  </w:endnote>
  <w:endnote w:type="continuationSeparator" w:id="0">
    <w:p w:rsidR="00456D57" w:rsidRDefault="00456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dobe Caslon Pro">
    <w:altName w:val="Georgia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2E" w:rsidRDefault="00694A97" w:rsidP="003C7F9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1392E" w:rsidRDefault="002F5664" w:rsidP="000139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2E" w:rsidRPr="0001392E" w:rsidRDefault="00694A97" w:rsidP="003C7F95">
    <w:pPr>
      <w:pStyle w:val="Piedepgina"/>
      <w:framePr w:wrap="around" w:vAnchor="text" w:hAnchor="margin" w:xAlign="right" w:y="1"/>
      <w:rPr>
        <w:rStyle w:val="Nmerodepgina"/>
        <w:sz w:val="16"/>
        <w:szCs w:val="16"/>
      </w:rPr>
    </w:pPr>
    <w:r w:rsidRPr="0001392E">
      <w:rPr>
        <w:rStyle w:val="Nmerodepgina"/>
        <w:sz w:val="16"/>
        <w:szCs w:val="16"/>
      </w:rPr>
      <w:fldChar w:fldCharType="begin"/>
    </w:r>
    <w:r w:rsidRPr="0001392E">
      <w:rPr>
        <w:rStyle w:val="Nmerodepgina"/>
        <w:sz w:val="16"/>
        <w:szCs w:val="16"/>
      </w:rPr>
      <w:instrText xml:space="preserve">PAGE  </w:instrText>
    </w:r>
    <w:r w:rsidRPr="0001392E">
      <w:rPr>
        <w:rStyle w:val="Nmerodepgina"/>
        <w:sz w:val="16"/>
        <w:szCs w:val="16"/>
      </w:rPr>
      <w:fldChar w:fldCharType="separate"/>
    </w:r>
    <w:r w:rsidR="002F5664">
      <w:rPr>
        <w:rStyle w:val="Nmerodepgina"/>
        <w:noProof/>
        <w:sz w:val="16"/>
        <w:szCs w:val="16"/>
      </w:rPr>
      <w:t>3</w:t>
    </w:r>
    <w:r w:rsidRPr="0001392E">
      <w:rPr>
        <w:rStyle w:val="Nmerodepgina"/>
        <w:sz w:val="16"/>
        <w:szCs w:val="16"/>
      </w:rPr>
      <w:fldChar w:fldCharType="end"/>
    </w:r>
  </w:p>
  <w:p w:rsidR="0001392E" w:rsidRDefault="002F5664" w:rsidP="000139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D57" w:rsidRDefault="00456D57">
      <w:r>
        <w:separator/>
      </w:r>
    </w:p>
  </w:footnote>
  <w:footnote w:type="continuationSeparator" w:id="0">
    <w:p w:rsidR="00456D57" w:rsidRDefault="00456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556" w:rsidRDefault="00694A9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121A964" wp14:editId="236C1F72">
          <wp:simplePos x="0" y="0"/>
          <wp:positionH relativeFrom="page">
            <wp:align>right</wp:align>
          </wp:positionH>
          <wp:positionV relativeFrom="paragraph">
            <wp:posOffset>-432591</wp:posOffset>
          </wp:positionV>
          <wp:extent cx="7774656" cy="10125418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_CORPORATIV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656" cy="10125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E7492"/>
    <w:multiLevelType w:val="hybridMultilevel"/>
    <w:tmpl w:val="4BE86910"/>
    <w:lvl w:ilvl="0" w:tplc="4754C2A2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10728"/>
    <w:multiLevelType w:val="hybridMultilevel"/>
    <w:tmpl w:val="8C5E92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45069"/>
    <w:multiLevelType w:val="hybridMultilevel"/>
    <w:tmpl w:val="3F08A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7CD"/>
    <w:rsid w:val="000023DE"/>
    <w:rsid w:val="00022E3B"/>
    <w:rsid w:val="00044F9D"/>
    <w:rsid w:val="0006264B"/>
    <w:rsid w:val="000E099E"/>
    <w:rsid w:val="000F472A"/>
    <w:rsid w:val="00134DFC"/>
    <w:rsid w:val="0018426E"/>
    <w:rsid w:val="00184934"/>
    <w:rsid w:val="001A568B"/>
    <w:rsid w:val="001E7EE2"/>
    <w:rsid w:val="001F7979"/>
    <w:rsid w:val="0022367A"/>
    <w:rsid w:val="00253A3D"/>
    <w:rsid w:val="002A59A9"/>
    <w:rsid w:val="002B72DB"/>
    <w:rsid w:val="002F5664"/>
    <w:rsid w:val="00377A1E"/>
    <w:rsid w:val="003D6351"/>
    <w:rsid w:val="003F2F4C"/>
    <w:rsid w:val="004013B9"/>
    <w:rsid w:val="00402A18"/>
    <w:rsid w:val="004532B7"/>
    <w:rsid w:val="00456D57"/>
    <w:rsid w:val="00463995"/>
    <w:rsid w:val="004966FE"/>
    <w:rsid w:val="004D1496"/>
    <w:rsid w:val="004F3E23"/>
    <w:rsid w:val="00545B3B"/>
    <w:rsid w:val="00550CE0"/>
    <w:rsid w:val="00557457"/>
    <w:rsid w:val="005770D7"/>
    <w:rsid w:val="005B18D0"/>
    <w:rsid w:val="005C1EA0"/>
    <w:rsid w:val="005D4F46"/>
    <w:rsid w:val="006118D8"/>
    <w:rsid w:val="00632812"/>
    <w:rsid w:val="006779C1"/>
    <w:rsid w:val="00694A97"/>
    <w:rsid w:val="006A3D97"/>
    <w:rsid w:val="006A4FF4"/>
    <w:rsid w:val="00712DA4"/>
    <w:rsid w:val="007147BB"/>
    <w:rsid w:val="0079556F"/>
    <w:rsid w:val="007D374E"/>
    <w:rsid w:val="00827474"/>
    <w:rsid w:val="0083652A"/>
    <w:rsid w:val="00952841"/>
    <w:rsid w:val="009D597C"/>
    <w:rsid w:val="00A42051"/>
    <w:rsid w:val="00AC3767"/>
    <w:rsid w:val="00AC5475"/>
    <w:rsid w:val="00B04086"/>
    <w:rsid w:val="00B3309D"/>
    <w:rsid w:val="00B60E11"/>
    <w:rsid w:val="00B6165C"/>
    <w:rsid w:val="00BF0BAF"/>
    <w:rsid w:val="00C071C6"/>
    <w:rsid w:val="00C6079F"/>
    <w:rsid w:val="00C71690"/>
    <w:rsid w:val="00C94E8E"/>
    <w:rsid w:val="00CF2F77"/>
    <w:rsid w:val="00D17D60"/>
    <w:rsid w:val="00D71103"/>
    <w:rsid w:val="00D75947"/>
    <w:rsid w:val="00D87D98"/>
    <w:rsid w:val="00D965CA"/>
    <w:rsid w:val="00DB5821"/>
    <w:rsid w:val="00E400CB"/>
    <w:rsid w:val="00EE7C4E"/>
    <w:rsid w:val="00F75B49"/>
    <w:rsid w:val="00FB0C82"/>
    <w:rsid w:val="00FF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06D6DC-A7F2-412E-AEFE-15CF8095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7CD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27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27CD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FF27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27CD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F27CD"/>
    <w:pPr>
      <w:ind w:left="720"/>
      <w:contextualSpacing/>
    </w:pPr>
  </w:style>
  <w:style w:type="table" w:styleId="Tablaconcuadrcula">
    <w:name w:val="Table Grid"/>
    <w:basedOn w:val="Tablanormal"/>
    <w:rsid w:val="00FF27CD"/>
    <w:pPr>
      <w:spacing w:after="0" w:line="240" w:lineRule="auto"/>
    </w:pPr>
    <w:rPr>
      <w:rFonts w:ascii="Cambria" w:eastAsia="MS Mincho" w:hAnsi="Cambria" w:cs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FF2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5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26456-A333-4CBA-B28C-F18AD0481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757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Itzayana Soriano Hernández</dc:creator>
  <cp:keywords/>
  <dc:description/>
  <cp:lastModifiedBy>karen Itzayana Soriano Hernández</cp:lastModifiedBy>
  <cp:revision>13</cp:revision>
  <cp:lastPrinted>2018-09-10T22:52:00Z</cp:lastPrinted>
  <dcterms:created xsi:type="dcterms:W3CDTF">2018-09-07T18:50:00Z</dcterms:created>
  <dcterms:modified xsi:type="dcterms:W3CDTF">2018-09-10T22:52:00Z</dcterms:modified>
</cp:coreProperties>
</file>