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29" w:rsidRDefault="00767629" w:rsidP="00767629">
      <w:pPr>
        <w:spacing w:before="120"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</w:p>
    <w:p w:rsidR="005A74E3" w:rsidRDefault="005A74E3" w:rsidP="00767629">
      <w:pPr>
        <w:spacing w:before="120" w:after="0" w:line="276" w:lineRule="auto"/>
        <w:rPr>
          <w:rFonts w:ascii="Adobe Caslon Pro" w:eastAsia="MS Mincho" w:hAnsi="Adobe Caslon Pro" w:cs="Arial"/>
          <w:b/>
          <w:sz w:val="24"/>
          <w:lang w:eastAsia="es-ES"/>
        </w:rPr>
      </w:pPr>
    </w:p>
    <w:p w:rsidR="00767629" w:rsidRDefault="00767629" w:rsidP="005A74E3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>
        <w:rPr>
          <w:rFonts w:ascii="Adobe Caslon Pro" w:eastAsia="MS Mincho" w:hAnsi="Adobe Caslon Pro" w:cs="Arial"/>
          <w:b/>
          <w:sz w:val="24"/>
          <w:lang w:eastAsia="es-ES"/>
        </w:rPr>
        <w:t>Gerencia de Seguimiento Normativo de los Programas de Apoyo</w:t>
      </w:r>
    </w:p>
    <w:p w:rsidR="00767629" w:rsidRDefault="00767629" w:rsidP="005A74E3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>
        <w:rPr>
          <w:rFonts w:ascii="Adobe Caslon Pro" w:eastAsia="MS Mincho" w:hAnsi="Adobe Caslon Pro" w:cs="Arial"/>
          <w:b/>
          <w:sz w:val="24"/>
          <w:lang w:eastAsia="es-ES"/>
        </w:rPr>
        <w:t>Resumen Ejecutivo de Expedientes Revisados</w:t>
      </w:r>
      <w:r w:rsidR="005A74E3">
        <w:rPr>
          <w:rFonts w:ascii="Adobe Caslon Pro" w:eastAsia="MS Mincho" w:hAnsi="Adobe Caslon Pro" w:cs="Arial"/>
          <w:b/>
          <w:sz w:val="24"/>
          <w:lang w:eastAsia="es-ES"/>
        </w:rPr>
        <w:t xml:space="preserve"> de los Programas Internos.</w:t>
      </w:r>
    </w:p>
    <w:p w:rsidR="00767629" w:rsidRDefault="00767629" w:rsidP="005A74E3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>
        <w:rPr>
          <w:rFonts w:ascii="Adobe Caslon Pro" w:eastAsia="MS Mincho" w:hAnsi="Adobe Caslon Pro" w:cs="Arial"/>
          <w:b/>
          <w:sz w:val="24"/>
          <w:lang w:eastAsia="es-ES"/>
        </w:rPr>
        <w:t>Coordinación Regional Sureste</w:t>
      </w:r>
    </w:p>
    <w:p w:rsidR="00767629" w:rsidRDefault="00767629" w:rsidP="005A74E3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Derivado de las funciones encomendadas a la GSNPA, de revisar los expedientes de las solicitudes de apoyo que hubieran recibido recursos correspondientes a los Programas de Apoyo, Internos y Externos, a cargo de la Dirección General Adjunta de Promoción de Negocios y Coordinación Regional; para realizar un análisis y evaluación de los procesos establecidos por la normatividad que los rige; y asimismo coordinar la elaboración de las acciones de mejora que fortalezcan el control interno de los procesos de entrega, supervisión y comprobación de los recursos de los Programas antes mencionados.</w:t>
      </w: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 xml:space="preserve"> Conforme al Programa de Trabajo de 2018, para revisar los expedientes correspondientes al ejercicio 2017 y con el objeto de incrementar la eficiencia y eficacia en su gestión, dando certeza del cumplimiento a la normativa aplicable vigente a los programas internos y externos; se llevó a cabo la evaluación de los controles internos de los procesos de operación para el otorgamiento de los apoyos internos y externos.</w:t>
      </w: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highlight w:val="yellow"/>
          <w:lang w:eastAsia="es-ES"/>
        </w:rPr>
        <w:t>OFICIO</w:t>
      </w: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 xml:space="preserve"> </w:t>
      </w: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De los 2,778 expedientes integrados por concepto de los Programas Internos que fueron ejecutados en las 85 agencias, correspondientes al ejercicio de 2017, se seleccionaron 37 expedientes; para su revisión, con la herramienta de “Muestra estadística y aleatoria”, el cual nos da un nivel de confianza del 90%, una Probabilidad de error del 4% y Precisión del 5%; operados en el ejercicio 2017.</w:t>
      </w: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5A74E3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 xml:space="preserve">De la revisión de 4 expedientes integrados por </w:t>
      </w:r>
      <w:r w:rsidR="005A74E3">
        <w:rPr>
          <w:rFonts w:ascii="Adobe Caslon Pro" w:eastAsia="MS Mincho" w:hAnsi="Adobe Caslon Pro" w:cs="Arial"/>
          <w:lang w:eastAsia="es-ES"/>
        </w:rPr>
        <w:t>los apoyos otorgados mediante los programas</w:t>
      </w:r>
      <w:r>
        <w:rPr>
          <w:rFonts w:ascii="Adobe Caslon Pro" w:eastAsia="MS Mincho" w:hAnsi="Adobe Caslon Pro" w:cs="Arial"/>
          <w:lang w:eastAsia="es-ES"/>
        </w:rPr>
        <w:t xml:space="preserve"> de:</w:t>
      </w:r>
    </w:p>
    <w:p w:rsidR="00767629" w:rsidRDefault="00767629" w:rsidP="0076762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Programa de Capacitación para Productores e Intermediarios Financieros Rurales.</w:t>
      </w:r>
    </w:p>
    <w:p w:rsidR="00767629" w:rsidRDefault="00767629" w:rsidP="0076762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Programa de Garantías Liquidas.</w:t>
      </w: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 xml:space="preserve">Se identificaron 6 áreas de oportunidad, de las cuales una está relacionada con la </w:t>
      </w:r>
      <w:r>
        <w:rPr>
          <w:rFonts w:ascii="Adobe Caslon Pro" w:eastAsia="MS Mincho" w:hAnsi="Adobe Caslon Pro" w:cs="Arial"/>
          <w:i/>
          <w:lang w:eastAsia="es-ES"/>
        </w:rPr>
        <w:t>solicitud</w:t>
      </w:r>
      <w:r>
        <w:rPr>
          <w:rFonts w:ascii="Adobe Caslon Pro" w:eastAsia="MS Mincho" w:hAnsi="Adobe Caslon Pro" w:cs="Arial"/>
          <w:lang w:eastAsia="es-ES"/>
        </w:rPr>
        <w:t>, 5 con la ministración.</w:t>
      </w: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tbl>
      <w:tblPr>
        <w:tblW w:w="4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20"/>
      </w:tblGrid>
      <w:tr w:rsidR="00767629" w:rsidTr="00ED533E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Áreas De Oportunidad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SURESTE</w:t>
            </w:r>
          </w:p>
        </w:tc>
      </w:tr>
      <w:tr w:rsidR="00767629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Solicitud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1</w:t>
            </w:r>
          </w:p>
        </w:tc>
      </w:tr>
      <w:tr w:rsidR="00767629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Autorización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0</w:t>
            </w:r>
          </w:p>
        </w:tc>
      </w:tr>
      <w:tr w:rsidR="00767629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Ministración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5</w:t>
            </w:r>
          </w:p>
        </w:tc>
      </w:tr>
      <w:tr w:rsidR="00767629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Comprobación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0</w:t>
            </w:r>
          </w:p>
        </w:tc>
      </w:tr>
      <w:tr w:rsidR="00767629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629" w:rsidRDefault="00767629" w:rsidP="00ED533E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Otros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629" w:rsidRDefault="00767629" w:rsidP="00ED533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0</w:t>
            </w:r>
          </w:p>
        </w:tc>
      </w:tr>
      <w:tr w:rsidR="00767629" w:rsidTr="00ED533E">
        <w:trPr>
          <w:trHeight w:val="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jc w:val="right"/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629" w:rsidRDefault="00767629" w:rsidP="00ED533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  <w:t>6</w:t>
            </w:r>
          </w:p>
        </w:tc>
      </w:tr>
    </w:tbl>
    <w:p w:rsidR="00767629" w:rsidRDefault="00767629" w:rsidP="00767629">
      <w:pPr>
        <w:spacing w:after="0" w:line="276" w:lineRule="auto"/>
        <w:jc w:val="center"/>
        <w:rPr>
          <w:rFonts w:ascii="Adobe Caslon Pro" w:eastAsia="MS Mincho" w:hAnsi="Adobe Caslon Pro" w:cs="Arial"/>
          <w:lang w:eastAsia="es-ES"/>
        </w:rPr>
      </w:pPr>
    </w:p>
    <w:p w:rsidR="00767629" w:rsidRDefault="00767629" w:rsidP="00767629">
      <w:pPr>
        <w:spacing w:after="0" w:line="240" w:lineRule="auto"/>
        <w:rPr>
          <w:rFonts w:ascii="Adobe Caslon Pro" w:eastAsia="MS Mincho" w:hAnsi="Adobe Caslon Pro" w:cs="Arial"/>
          <w:sz w:val="20"/>
          <w:lang w:eastAsia="es-ES"/>
        </w:rPr>
      </w:pPr>
    </w:p>
    <w:p w:rsidR="00767629" w:rsidRDefault="00767629" w:rsidP="00767629">
      <w:pPr>
        <w:spacing w:after="0" w:line="276" w:lineRule="auto"/>
        <w:jc w:val="center"/>
        <w:rPr>
          <w:rFonts w:ascii="Adobe Caslon Pro" w:eastAsia="MS Mincho" w:hAnsi="Adobe Caslon Pro" w:cs="Arial"/>
          <w:sz w:val="18"/>
          <w:lang w:eastAsia="es-ES"/>
        </w:rPr>
      </w:pP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767629" w:rsidRPr="00186B67" w:rsidRDefault="00767629" w:rsidP="00767629">
      <w:pPr>
        <w:spacing w:line="276" w:lineRule="auto"/>
        <w:jc w:val="both"/>
        <w:rPr>
          <w:rFonts w:ascii="Adobe Caslon Pro" w:hAnsi="Adobe Caslon Pro" w:cs="Arial"/>
        </w:rPr>
      </w:pPr>
      <w:r>
        <w:rPr>
          <w:rFonts w:ascii="Adobe Caslon Pro" w:eastAsia="MS Mincho" w:hAnsi="Adobe Caslon Pro" w:cs="Arial"/>
          <w:lang w:eastAsia="es-ES"/>
        </w:rPr>
        <w:t xml:space="preserve">Como se puede apreciar, los rubros que presentan el mayor número de áreas de oportunidad, corresponden a: </w:t>
      </w:r>
      <w:r>
        <w:rPr>
          <w:rFonts w:ascii="Adobe Caslon Pro" w:eastAsia="MS Mincho" w:hAnsi="Adobe Caslon Pro" w:cs="Arial"/>
          <w:b/>
          <w:lang w:eastAsia="es-ES"/>
        </w:rPr>
        <w:t>(ministración)</w:t>
      </w:r>
      <w:r>
        <w:rPr>
          <w:rFonts w:ascii="Adobe Caslon Pro" w:eastAsia="MS Mincho" w:hAnsi="Adobe Caslon Pro" w:cs="Arial"/>
          <w:lang w:eastAsia="es-ES"/>
        </w:rPr>
        <w:t xml:space="preserve"> </w:t>
      </w:r>
      <w:r w:rsidR="009E31CD">
        <w:rPr>
          <w:rFonts w:ascii="Adobe Caslon Pro" w:eastAsia="MS Mincho" w:hAnsi="Adobe Caslon Pro" w:cs="Arial"/>
          <w:lang w:eastAsia="es-ES"/>
        </w:rPr>
        <w:t>con el 83.33</w:t>
      </w:r>
      <w:r>
        <w:rPr>
          <w:rFonts w:ascii="Adobe Caslon Pro" w:eastAsia="MS Mincho" w:hAnsi="Adobe Caslon Pro" w:cs="Arial"/>
          <w:lang w:eastAsia="es-ES"/>
        </w:rPr>
        <w:t xml:space="preserve">%, </w:t>
      </w:r>
      <w:r w:rsidR="009E31CD">
        <w:rPr>
          <w:rFonts w:ascii="Adobe Caslon Pro" w:eastAsia="MS Mincho" w:hAnsi="Adobe Caslon Pro" w:cs="Arial"/>
          <w:lang w:eastAsia="es-ES"/>
        </w:rPr>
        <w:t xml:space="preserve">y </w:t>
      </w:r>
      <w:r>
        <w:rPr>
          <w:rFonts w:ascii="Adobe Caslon Pro" w:eastAsia="MS Mincho" w:hAnsi="Adobe Caslon Pro" w:cs="Arial"/>
          <w:b/>
          <w:lang w:eastAsia="es-ES"/>
        </w:rPr>
        <w:t>(solicitud)</w:t>
      </w:r>
      <w:r>
        <w:rPr>
          <w:rFonts w:ascii="Adobe Caslon Pro" w:eastAsia="MS Mincho" w:hAnsi="Adobe Caslon Pro" w:cs="Arial"/>
          <w:lang w:eastAsia="es-ES"/>
        </w:rPr>
        <w:t xml:space="preserve"> con el 16.67</w:t>
      </w:r>
      <w:r w:rsidR="00A8283A">
        <w:rPr>
          <w:rFonts w:ascii="Adobe Caslon Pro" w:eastAsia="MS Mincho" w:hAnsi="Adobe Caslon Pro" w:cs="Arial"/>
          <w:lang w:eastAsia="es-ES"/>
        </w:rPr>
        <w:t xml:space="preserve">%, </w:t>
      </w:r>
      <w:r w:rsidR="00A8283A">
        <w:rPr>
          <w:rFonts w:ascii="Adobe Caslon Pro" w:hAnsi="Adobe Caslon Pro" w:cs="Arial"/>
        </w:rPr>
        <w:t>del</w:t>
      </w:r>
      <w:r>
        <w:rPr>
          <w:rFonts w:ascii="Adobe Caslon Pro" w:hAnsi="Adobe Caslon Pro" w:cs="Arial"/>
        </w:rPr>
        <w:t xml:space="preserve"> total respectivamente.</w:t>
      </w: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A continuación, se hace una referencia de las áreas de oportunidad en las que existe mayor recurrencia:</w:t>
      </w: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767629" w:rsidRDefault="00767629" w:rsidP="00767629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lang w:eastAsia="es-ES"/>
        </w:rPr>
      </w:pPr>
    </w:p>
    <w:p w:rsidR="00767629" w:rsidRDefault="00767629" w:rsidP="00767629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lang w:eastAsia="es-ES"/>
        </w:rPr>
      </w:pPr>
      <w:r>
        <w:rPr>
          <w:rFonts w:ascii="Adobe Caslon Pro" w:eastAsia="MS Mincho" w:hAnsi="Adobe Caslon Pro" w:cs="Arial"/>
          <w:sz w:val="20"/>
          <w:lang w:eastAsia="es-ES"/>
        </w:rPr>
        <w:t>ÁREAS DE OPORTUNIDAD</w:t>
      </w:r>
    </w:p>
    <w:p w:rsidR="00767629" w:rsidRPr="004B7015" w:rsidRDefault="00767629" w:rsidP="00767629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5850"/>
        <w:gridCol w:w="6"/>
      </w:tblGrid>
      <w:tr w:rsidR="00767629" w:rsidRPr="004B7015" w:rsidTr="00954A2B">
        <w:trPr>
          <w:gridAfter w:val="1"/>
          <w:wAfter w:w="6" w:type="dxa"/>
          <w:trHeight w:val="515"/>
        </w:trPr>
        <w:tc>
          <w:tcPr>
            <w:tcW w:w="2972" w:type="dxa"/>
            <w:hideMark/>
          </w:tcPr>
          <w:p w:rsidR="00767629" w:rsidRPr="00024F43" w:rsidRDefault="00767629" w:rsidP="00ED533E">
            <w:pPr>
              <w:spacing w:line="276" w:lineRule="auto"/>
              <w:jc w:val="center"/>
              <w:rPr>
                <w:rFonts w:ascii="Adobe Caslon Pro" w:hAnsi="Adobe Caslon Pro" w:cs="Arial"/>
                <w:sz w:val="24"/>
                <w:szCs w:val="24"/>
                <w:lang w:eastAsia="es-ES"/>
              </w:rPr>
            </w:pPr>
            <w:r w:rsidRPr="00024F43">
              <w:rPr>
                <w:rFonts w:ascii="Adobe Caslon Pro" w:hAnsi="Adobe Caslon Pro" w:cs="Arial"/>
                <w:sz w:val="24"/>
                <w:szCs w:val="24"/>
                <w:lang w:eastAsia="es-ES"/>
              </w:rPr>
              <w:t>Documento revisado</w:t>
            </w:r>
          </w:p>
        </w:tc>
        <w:tc>
          <w:tcPr>
            <w:tcW w:w="5850" w:type="dxa"/>
            <w:hideMark/>
          </w:tcPr>
          <w:p w:rsidR="00767629" w:rsidRPr="00024F43" w:rsidRDefault="00767629" w:rsidP="00ED533E">
            <w:pPr>
              <w:spacing w:line="276" w:lineRule="auto"/>
              <w:jc w:val="center"/>
              <w:rPr>
                <w:rFonts w:ascii="Adobe Caslon Pro" w:hAnsi="Adobe Caslon Pro" w:cs="Arial"/>
                <w:sz w:val="24"/>
                <w:szCs w:val="24"/>
                <w:lang w:eastAsia="es-ES"/>
              </w:rPr>
            </w:pPr>
            <w:r w:rsidRPr="00024F43">
              <w:rPr>
                <w:rFonts w:ascii="Adobe Caslon Pro" w:hAnsi="Adobe Caslon Pro" w:cs="Arial"/>
                <w:sz w:val="24"/>
                <w:szCs w:val="24"/>
                <w:lang w:eastAsia="es-ES"/>
              </w:rPr>
              <w:t>Acciones</w:t>
            </w:r>
          </w:p>
        </w:tc>
      </w:tr>
      <w:tr w:rsidR="00954A2B" w:rsidTr="00954A2B">
        <w:tc>
          <w:tcPr>
            <w:tcW w:w="2972" w:type="dxa"/>
            <w:hideMark/>
          </w:tcPr>
          <w:p w:rsidR="00954A2B" w:rsidRPr="00954A2B" w:rsidRDefault="00954A2B" w:rsidP="00954A2B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24"/>
                <w:lang w:eastAsia="es-ES"/>
              </w:rPr>
            </w:pPr>
            <w:r w:rsidRPr="00954A2B">
              <w:rPr>
                <w:rFonts w:ascii="Adobe Caslon Pro" w:hAnsi="Adobe Caslon Pro" w:cs="Arial"/>
                <w:sz w:val="18"/>
                <w:szCs w:val="24"/>
                <w:lang w:eastAsia="es-ES"/>
              </w:rPr>
              <w:t>Constancia de situación fiscal del proveedor.</w:t>
            </w:r>
          </w:p>
        </w:tc>
        <w:tc>
          <w:tcPr>
            <w:tcW w:w="5856" w:type="dxa"/>
            <w:gridSpan w:val="2"/>
          </w:tcPr>
          <w:p w:rsidR="00954A2B" w:rsidRPr="00954A2B" w:rsidRDefault="00954A2B" w:rsidP="00954A2B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24"/>
                <w:lang w:eastAsia="es-ES"/>
              </w:rPr>
            </w:pPr>
            <w:r w:rsidRPr="00954A2B">
              <w:rPr>
                <w:rFonts w:ascii="Adobe Caslon Pro" w:hAnsi="Adobe Caslon Pro" w:cs="Arial"/>
                <w:sz w:val="18"/>
                <w:szCs w:val="24"/>
                <w:lang w:eastAsia="es-ES"/>
              </w:rPr>
              <w:t>No se encontró documento del proveedor,  en su lugar se encontró el del beneficiario</w:t>
            </w:r>
            <w:r>
              <w:rPr>
                <w:rFonts w:ascii="Adobe Caslon Pro" w:hAnsi="Adobe Caslon Pro" w:cs="Arial"/>
                <w:sz w:val="18"/>
                <w:szCs w:val="24"/>
                <w:lang w:eastAsia="es-ES"/>
              </w:rPr>
              <w:t>.</w:t>
            </w:r>
          </w:p>
        </w:tc>
      </w:tr>
      <w:tr w:rsidR="00954A2B" w:rsidTr="00954A2B">
        <w:tc>
          <w:tcPr>
            <w:tcW w:w="2972" w:type="dxa"/>
            <w:hideMark/>
          </w:tcPr>
          <w:p w:rsidR="00954A2B" w:rsidRPr="00954A2B" w:rsidRDefault="00954A2B" w:rsidP="00954A2B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24"/>
                <w:lang w:eastAsia="es-ES"/>
              </w:rPr>
            </w:pPr>
            <w:r w:rsidRPr="00954A2B">
              <w:rPr>
                <w:rFonts w:ascii="Adobe Caslon Pro" w:hAnsi="Adobe Caslon Pro" w:cs="Arial"/>
                <w:sz w:val="18"/>
                <w:szCs w:val="24"/>
                <w:lang w:eastAsia="es-ES"/>
              </w:rPr>
              <w:t>Carta satisfacción del beneficiario solicitando el pago de la ministración.</w:t>
            </w:r>
          </w:p>
        </w:tc>
        <w:tc>
          <w:tcPr>
            <w:tcW w:w="5856" w:type="dxa"/>
            <w:gridSpan w:val="2"/>
            <w:hideMark/>
          </w:tcPr>
          <w:p w:rsidR="00954A2B" w:rsidRPr="00954A2B" w:rsidRDefault="00954A2B" w:rsidP="00954A2B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24"/>
                <w:lang w:eastAsia="es-ES"/>
              </w:rPr>
            </w:pPr>
            <w:r w:rsidRPr="00954A2B">
              <w:rPr>
                <w:rFonts w:ascii="Adobe Caslon Pro" w:hAnsi="Adobe Caslon Pro" w:cs="Arial"/>
                <w:sz w:val="18"/>
                <w:szCs w:val="24"/>
                <w:lang w:eastAsia="es-ES"/>
              </w:rPr>
              <w:t>La carta es del 04-ene-2018, a dicha fecha ya se había dispersado el total del apoyo (1ra y 2da ministración), por lo que existe una incongruencia entre las fechas</w:t>
            </w:r>
            <w:r>
              <w:rPr>
                <w:rFonts w:ascii="Adobe Caslon Pro" w:hAnsi="Adobe Caslon Pro" w:cs="Arial"/>
                <w:sz w:val="18"/>
                <w:szCs w:val="24"/>
                <w:lang w:eastAsia="es-ES"/>
              </w:rPr>
              <w:t>.</w:t>
            </w:r>
          </w:p>
        </w:tc>
      </w:tr>
      <w:tr w:rsidR="00954A2B" w:rsidTr="00954A2B">
        <w:tc>
          <w:tcPr>
            <w:tcW w:w="2972" w:type="dxa"/>
            <w:hideMark/>
          </w:tcPr>
          <w:p w:rsidR="00954A2B" w:rsidRPr="00954A2B" w:rsidRDefault="00954A2B" w:rsidP="00954A2B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24"/>
                <w:lang w:eastAsia="es-ES"/>
              </w:rPr>
            </w:pPr>
            <w:r w:rsidRPr="00954A2B">
              <w:rPr>
                <w:rFonts w:ascii="Adobe Caslon Pro" w:hAnsi="Adobe Caslon Pro" w:cs="Arial"/>
                <w:sz w:val="18"/>
                <w:szCs w:val="24"/>
                <w:lang w:eastAsia="es-ES"/>
              </w:rPr>
              <w:t>Notificación de dispersión del pago de la ministración.</w:t>
            </w:r>
          </w:p>
        </w:tc>
        <w:tc>
          <w:tcPr>
            <w:tcW w:w="5856" w:type="dxa"/>
            <w:gridSpan w:val="2"/>
            <w:hideMark/>
          </w:tcPr>
          <w:p w:rsidR="00954A2B" w:rsidRPr="00954A2B" w:rsidRDefault="00954A2B" w:rsidP="00954A2B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24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szCs w:val="24"/>
                <w:lang w:eastAsia="es-ES"/>
              </w:rPr>
              <w:t>En el expedi</w:t>
            </w:r>
            <w:bookmarkStart w:id="0" w:name="_GoBack"/>
            <w:bookmarkEnd w:id="0"/>
            <w:r>
              <w:rPr>
                <w:rFonts w:ascii="Adobe Caslon Pro" w:hAnsi="Adobe Caslon Pro" w:cs="Arial"/>
                <w:sz w:val="18"/>
                <w:szCs w:val="24"/>
                <w:lang w:eastAsia="es-ES"/>
              </w:rPr>
              <w:t>ente no se localizó</w:t>
            </w:r>
            <w:r w:rsidRPr="00954A2B">
              <w:rPr>
                <w:rFonts w:ascii="Adobe Caslon Pro" w:hAnsi="Adobe Caslon Pro" w:cs="Arial"/>
                <w:sz w:val="18"/>
                <w:szCs w:val="24"/>
                <w:lang w:eastAsia="es-ES"/>
              </w:rPr>
              <w:t xml:space="preserve"> el documento.</w:t>
            </w:r>
          </w:p>
        </w:tc>
      </w:tr>
      <w:tr w:rsidR="00954A2B" w:rsidTr="00954A2B">
        <w:tc>
          <w:tcPr>
            <w:tcW w:w="2972" w:type="dxa"/>
            <w:hideMark/>
          </w:tcPr>
          <w:p w:rsidR="00954A2B" w:rsidRPr="00954A2B" w:rsidRDefault="00954A2B" w:rsidP="00954A2B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24"/>
                <w:lang w:eastAsia="es-ES"/>
              </w:rPr>
            </w:pPr>
            <w:r w:rsidRPr="00954A2B">
              <w:rPr>
                <w:rFonts w:ascii="Adobe Caslon Pro" w:hAnsi="Adobe Caslon Pro" w:cs="Arial"/>
                <w:sz w:val="18"/>
                <w:szCs w:val="24"/>
                <w:lang w:eastAsia="es-ES"/>
              </w:rPr>
              <w:t>Recibo del beneficiario (anexo 4).</w:t>
            </w:r>
          </w:p>
        </w:tc>
        <w:tc>
          <w:tcPr>
            <w:tcW w:w="5856" w:type="dxa"/>
            <w:gridSpan w:val="2"/>
            <w:hideMark/>
          </w:tcPr>
          <w:p w:rsidR="00954A2B" w:rsidRPr="00954A2B" w:rsidRDefault="00954A2B" w:rsidP="00954A2B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24"/>
                <w:lang w:eastAsia="es-ES"/>
              </w:rPr>
            </w:pPr>
            <w:r w:rsidRPr="00954A2B">
              <w:rPr>
                <w:rFonts w:ascii="Adobe Caslon Pro" w:hAnsi="Adobe Caslon Pro" w:cs="Arial"/>
                <w:sz w:val="18"/>
                <w:szCs w:val="24"/>
                <w:lang w:eastAsia="es-ES"/>
              </w:rPr>
              <w:t>El comprobante fiscal que ampara el monto del apoyo (factura C82), contiene error, toda vez que se desglosó el IVA, el sub total y monto total debiera ser $19,720.00</w:t>
            </w:r>
            <w:r>
              <w:rPr>
                <w:rFonts w:ascii="Adobe Caslon Pro" w:hAnsi="Adobe Caslon Pro" w:cs="Arial"/>
                <w:sz w:val="18"/>
                <w:szCs w:val="24"/>
                <w:lang w:eastAsia="es-ES"/>
              </w:rPr>
              <w:t>.</w:t>
            </w:r>
          </w:p>
        </w:tc>
      </w:tr>
    </w:tbl>
    <w:p w:rsidR="00767629" w:rsidRDefault="00767629" w:rsidP="00767629">
      <w:pPr>
        <w:spacing w:after="0" w:line="240" w:lineRule="auto"/>
        <w:jc w:val="both"/>
        <w:rPr>
          <w:rFonts w:ascii="Adobe Caslon Pro" w:eastAsia="MS Mincho" w:hAnsi="Adobe Caslon Pro" w:cs="Arial"/>
          <w:sz w:val="10"/>
          <w:szCs w:val="10"/>
          <w:lang w:eastAsia="es-ES"/>
        </w:rPr>
      </w:pPr>
    </w:p>
    <w:p w:rsidR="00767629" w:rsidRDefault="00767629" w:rsidP="00767629">
      <w:pPr>
        <w:spacing w:after="0" w:line="276" w:lineRule="auto"/>
        <w:jc w:val="both"/>
        <w:rPr>
          <w:rFonts w:ascii="Adobe Caslon Pro" w:eastAsia="MS Mincho" w:hAnsi="Adobe Caslon Pro" w:cs="Arial"/>
          <w:sz w:val="20"/>
          <w:lang w:eastAsia="es-ES"/>
        </w:rPr>
      </w:pPr>
    </w:p>
    <w:p w:rsidR="005A74E3" w:rsidRPr="00532691" w:rsidRDefault="005A74E3" w:rsidP="005A74E3">
      <w:pPr>
        <w:spacing w:before="240" w:line="360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El estatus de las áreas de oportunidad, se dan a conocer conforme a lo dispuesto en los numerales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5.4, 5.7 y 5.11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 Políticas; 6.7, 6.13, 6.18, y 6.23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Manual de Políticas y Procedimientos para el Seguimiento Normativo y la Revisión de Expedientes, de los Programas Operados por la Dirección General Adjunta de Promoción de Negocios y Coordinación Regional; inciso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j)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numeral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4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, del Manual de Procedimientos de Operación de los componentes de Mezcla de Recursos, a fin de que cuente con elementos que le permitan dar seguimiento a las áreas de oportunidad determinadas, o en su caso, determinar las acciones que se consideren procedentes.</w:t>
      </w:r>
    </w:p>
    <w:p w:rsidR="001D243D" w:rsidRPr="009E31CD" w:rsidRDefault="00950873" w:rsidP="009E31CD">
      <w:pPr>
        <w:tabs>
          <w:tab w:val="left" w:pos="2516"/>
        </w:tabs>
      </w:pPr>
    </w:p>
    <w:sectPr w:rsidR="001D243D" w:rsidRPr="009E31C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73" w:rsidRDefault="00950873">
      <w:pPr>
        <w:spacing w:after="0" w:line="240" w:lineRule="auto"/>
      </w:pPr>
      <w:r>
        <w:separator/>
      </w:r>
    </w:p>
  </w:endnote>
  <w:endnote w:type="continuationSeparator" w:id="0">
    <w:p w:rsidR="00950873" w:rsidRDefault="009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73" w:rsidRDefault="00950873">
      <w:pPr>
        <w:spacing w:after="0" w:line="240" w:lineRule="auto"/>
      </w:pPr>
      <w:r>
        <w:separator/>
      </w:r>
    </w:p>
  </w:footnote>
  <w:footnote w:type="continuationSeparator" w:id="0">
    <w:p w:rsidR="00950873" w:rsidRDefault="009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A6" w:rsidRDefault="0086310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E921C1E" wp14:editId="764D95BE">
          <wp:simplePos x="0" y="0"/>
          <wp:positionH relativeFrom="page">
            <wp:align>left</wp:align>
          </wp:positionH>
          <wp:positionV relativeFrom="paragraph">
            <wp:posOffset>-452810</wp:posOffset>
          </wp:positionV>
          <wp:extent cx="7774656" cy="10125418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6162"/>
    <w:multiLevelType w:val="hybridMultilevel"/>
    <w:tmpl w:val="EA9E6D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29"/>
    <w:rsid w:val="00024F43"/>
    <w:rsid w:val="002A59A9"/>
    <w:rsid w:val="004B7015"/>
    <w:rsid w:val="005A74E3"/>
    <w:rsid w:val="006118D8"/>
    <w:rsid w:val="00767629"/>
    <w:rsid w:val="007F2898"/>
    <w:rsid w:val="00863102"/>
    <w:rsid w:val="00894F43"/>
    <w:rsid w:val="00950873"/>
    <w:rsid w:val="00954A2B"/>
    <w:rsid w:val="009E31CD"/>
    <w:rsid w:val="00A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0D4C"/>
  <w15:chartTrackingRefBased/>
  <w15:docId w15:val="{73807627-4A4B-4BFD-BF33-BDABD52E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6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629"/>
    <w:pPr>
      <w:ind w:left="720"/>
      <w:contextualSpacing/>
    </w:pPr>
  </w:style>
  <w:style w:type="table" w:styleId="Tablaconcuadrcula">
    <w:name w:val="Table Grid"/>
    <w:basedOn w:val="Tablanormal"/>
    <w:rsid w:val="00767629"/>
    <w:pPr>
      <w:spacing w:after="0" w:line="240" w:lineRule="auto"/>
    </w:pPr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7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9</cp:revision>
  <dcterms:created xsi:type="dcterms:W3CDTF">2018-09-10T16:38:00Z</dcterms:created>
  <dcterms:modified xsi:type="dcterms:W3CDTF">2018-09-10T21:21:00Z</dcterms:modified>
</cp:coreProperties>
</file>