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A6" w:rsidRDefault="000B60A6" w:rsidP="00920DDF">
      <w:pPr>
        <w:spacing w:before="120"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</w:p>
    <w:p w:rsidR="000B60A6" w:rsidRDefault="000B60A6" w:rsidP="000E284C">
      <w:pPr>
        <w:spacing w:before="120" w:after="0" w:line="276" w:lineRule="auto"/>
        <w:rPr>
          <w:rFonts w:ascii="Adobe Caslon Pro" w:eastAsia="MS Mincho" w:hAnsi="Adobe Caslon Pro" w:cs="Arial"/>
          <w:b/>
          <w:sz w:val="24"/>
          <w:lang w:eastAsia="es-ES"/>
        </w:rPr>
      </w:pPr>
    </w:p>
    <w:p w:rsidR="00920DDF" w:rsidRDefault="00920DDF" w:rsidP="000B60A6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  <w:r>
        <w:rPr>
          <w:rFonts w:ascii="Adobe Caslon Pro" w:eastAsia="MS Mincho" w:hAnsi="Adobe Caslon Pro" w:cs="Arial"/>
          <w:b/>
          <w:sz w:val="24"/>
          <w:lang w:eastAsia="es-ES"/>
        </w:rPr>
        <w:t>Gerencia de Seguimiento Normativo de los Programas de Apoyo</w:t>
      </w:r>
    </w:p>
    <w:p w:rsidR="00920DDF" w:rsidRDefault="00920DDF" w:rsidP="000B60A6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  <w:r>
        <w:rPr>
          <w:rFonts w:ascii="Adobe Caslon Pro" w:eastAsia="MS Mincho" w:hAnsi="Adobe Caslon Pro" w:cs="Arial"/>
          <w:b/>
          <w:sz w:val="24"/>
          <w:lang w:eastAsia="es-ES"/>
        </w:rPr>
        <w:t>Resumen Ejecutivo de Expedientes Revisados</w:t>
      </w:r>
      <w:r w:rsidR="000E284C">
        <w:rPr>
          <w:rFonts w:ascii="Adobe Caslon Pro" w:eastAsia="MS Mincho" w:hAnsi="Adobe Caslon Pro" w:cs="Arial"/>
          <w:b/>
          <w:sz w:val="24"/>
          <w:lang w:eastAsia="es-ES"/>
        </w:rPr>
        <w:t xml:space="preserve"> de los Programas Internos.</w:t>
      </w:r>
    </w:p>
    <w:p w:rsidR="00920DDF" w:rsidRDefault="00C0447E" w:rsidP="000B60A6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  <w:r>
        <w:rPr>
          <w:rFonts w:ascii="Adobe Caslon Pro" w:eastAsia="MS Mincho" w:hAnsi="Adobe Caslon Pro" w:cs="Arial"/>
          <w:b/>
          <w:sz w:val="24"/>
          <w:lang w:eastAsia="es-ES"/>
        </w:rPr>
        <w:t>Coordinación Regional Sur</w:t>
      </w:r>
    </w:p>
    <w:p w:rsidR="00920DDF" w:rsidRDefault="00920DDF" w:rsidP="00920DDF">
      <w:pPr>
        <w:spacing w:after="0" w:line="276" w:lineRule="auto"/>
        <w:jc w:val="center"/>
        <w:rPr>
          <w:rFonts w:ascii="Adobe Caslon Pro" w:eastAsia="MS Mincho" w:hAnsi="Adobe Caslon Pro" w:cs="Arial"/>
          <w:b/>
          <w:sz w:val="24"/>
          <w:lang w:eastAsia="es-ES"/>
        </w:rPr>
      </w:pPr>
    </w:p>
    <w:p w:rsidR="00920DDF" w:rsidRDefault="00920DDF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>Derivado de las funciones encomendadas a la GSNPA, de revisar los expedientes de las solicitudes de apoyo que hubieran recibido rec</w:t>
      </w:r>
      <w:r w:rsidR="00C0447E">
        <w:rPr>
          <w:rFonts w:ascii="Adobe Caslon Pro" w:eastAsia="MS Mincho" w:hAnsi="Adobe Caslon Pro" w:cs="Arial"/>
          <w:lang w:eastAsia="es-ES"/>
        </w:rPr>
        <w:t>ursos correspondientes a los P</w:t>
      </w:r>
      <w:r>
        <w:rPr>
          <w:rFonts w:ascii="Adobe Caslon Pro" w:eastAsia="MS Mincho" w:hAnsi="Adobe Caslon Pro" w:cs="Arial"/>
          <w:lang w:eastAsia="es-ES"/>
        </w:rPr>
        <w:t>rogramas de Apoyo, Internos y Externos, a cargo de la Dirección General Adjunta de Promoción de Negocios y Coordinación Regional; para realizar un análisis y evaluación de los procesos establecidos por la normatividad que los rige; y asimismo coordinar la elaboración de las acciones de mejora que fortalezcan el control interno de los procesos de entrega, supervisión y comprobación de los recursos de los Programas antes mencionados.</w:t>
      </w:r>
    </w:p>
    <w:p w:rsidR="00920DDF" w:rsidRDefault="00920DDF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920DDF" w:rsidRDefault="00920DDF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 xml:space="preserve"> Conforme al Programa de Trabajo de 2018, para revisar los expedientes correspondientes al ejercicio 2017 y con el objeto de incrementar la eficiencia y eficacia en su gestión, dando certeza del cumplimiento a la normativa aplicable vigente a los programas internos y externos; se llevó a cabo la evaluación de los controles internos de los procesos de operación para el otorgamiento de los apoyos internos y externos.</w:t>
      </w:r>
    </w:p>
    <w:p w:rsidR="00920DDF" w:rsidRDefault="00920DDF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highlight w:val="yellow"/>
          <w:lang w:eastAsia="es-ES"/>
        </w:rPr>
        <w:t>OFICIO</w:t>
      </w:r>
    </w:p>
    <w:p w:rsidR="00920DDF" w:rsidRDefault="00920DDF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 xml:space="preserve"> </w:t>
      </w:r>
    </w:p>
    <w:p w:rsidR="00920DDF" w:rsidRDefault="00920DDF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>De los 2,778 expedientes integrados por concepto de los Programas Internos que fueron ejecutados en las 85 agencias, correspondientes al ejercicio de 2017, se seleccionaron 37 expedientes; para su revisión, con la herramienta de “Muestra estadística y aleatoria”, el cual nos da un nivel de confianza del 90%, una Probabilidad de error del 4% y Precisión del 5%; operados en el ejercicio 2017.</w:t>
      </w:r>
    </w:p>
    <w:p w:rsidR="00920DDF" w:rsidRDefault="00920DDF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920DDF" w:rsidRDefault="00920DDF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>De la revisión de 3 expedientes integrados por los apoyos otorgados mediante el programa de:</w:t>
      </w:r>
    </w:p>
    <w:p w:rsidR="00920DDF" w:rsidRDefault="00920DDF" w:rsidP="00920DDF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>Programa de Capacitación para Productores e Intermediarios Financieros Rurales</w:t>
      </w:r>
    </w:p>
    <w:p w:rsidR="00920DDF" w:rsidRDefault="00920DDF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920DDF" w:rsidRDefault="00920DDF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 xml:space="preserve">Se identificaron 20 áreas de oportunidad, de las cuales 7 están relacionadas con la </w:t>
      </w:r>
      <w:r>
        <w:rPr>
          <w:rFonts w:ascii="Adobe Caslon Pro" w:eastAsia="MS Mincho" w:hAnsi="Adobe Caslon Pro" w:cs="Arial"/>
          <w:i/>
          <w:lang w:eastAsia="es-ES"/>
        </w:rPr>
        <w:t>solicitud</w:t>
      </w:r>
      <w:r>
        <w:rPr>
          <w:rFonts w:ascii="Adobe Caslon Pro" w:eastAsia="MS Mincho" w:hAnsi="Adobe Caslon Pro" w:cs="Arial"/>
          <w:lang w:eastAsia="es-ES"/>
        </w:rPr>
        <w:t xml:space="preserve">, 2 con la </w:t>
      </w:r>
      <w:r>
        <w:rPr>
          <w:rFonts w:ascii="Adobe Caslon Pro" w:eastAsia="MS Mincho" w:hAnsi="Adobe Caslon Pro" w:cs="Arial"/>
          <w:i/>
          <w:lang w:eastAsia="es-ES"/>
        </w:rPr>
        <w:t>autorización</w:t>
      </w:r>
      <w:r>
        <w:rPr>
          <w:rFonts w:ascii="Adobe Caslon Pro" w:eastAsia="MS Mincho" w:hAnsi="Adobe Caslon Pro" w:cs="Arial"/>
          <w:lang w:eastAsia="es-ES"/>
        </w:rPr>
        <w:t xml:space="preserve">, 4 con la ministración, 6 con la </w:t>
      </w:r>
      <w:r>
        <w:rPr>
          <w:rFonts w:ascii="Adobe Caslon Pro" w:eastAsia="MS Mincho" w:hAnsi="Adobe Caslon Pro" w:cs="Arial"/>
          <w:i/>
          <w:lang w:eastAsia="es-ES"/>
        </w:rPr>
        <w:t xml:space="preserve">comprobación y una </w:t>
      </w:r>
      <w:r>
        <w:rPr>
          <w:rFonts w:ascii="Adobe Caslon Pro" w:hAnsi="Adobe Caslon Pro" w:cs="Arial"/>
        </w:rPr>
        <w:t xml:space="preserve">con </w:t>
      </w:r>
      <w:r>
        <w:rPr>
          <w:rFonts w:ascii="Adobe Caslon Pro" w:hAnsi="Adobe Caslon Pro" w:cs="Arial"/>
          <w:i/>
        </w:rPr>
        <w:t>otra área de oportunidad</w:t>
      </w:r>
      <w:r>
        <w:rPr>
          <w:rFonts w:ascii="Adobe Caslon Pro" w:eastAsia="MS Mincho" w:hAnsi="Adobe Caslon Pro" w:cs="Arial"/>
          <w:lang w:eastAsia="es-ES"/>
        </w:rPr>
        <w:t xml:space="preserve">. </w:t>
      </w:r>
    </w:p>
    <w:p w:rsidR="00186B67" w:rsidRDefault="00186B67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tbl>
      <w:tblPr>
        <w:tblW w:w="4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120"/>
      </w:tblGrid>
      <w:tr w:rsidR="00920DDF" w:rsidTr="00920DDF">
        <w:trPr>
          <w:trHeight w:val="2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20DDF" w:rsidRDefault="00920DDF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Áreas De Oportunidad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20DDF" w:rsidRDefault="00920DDF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SUR</w:t>
            </w:r>
          </w:p>
        </w:tc>
      </w:tr>
      <w:tr w:rsidR="00920DDF" w:rsidTr="00920DDF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DDF" w:rsidRDefault="00920DDF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Solicitud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DDF" w:rsidRDefault="00C0447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7</w:t>
            </w:r>
          </w:p>
        </w:tc>
      </w:tr>
      <w:tr w:rsidR="00920DDF" w:rsidTr="00920DDF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DDF" w:rsidRDefault="00920DDF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Autorización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DDF" w:rsidRDefault="00C0447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2</w:t>
            </w:r>
          </w:p>
        </w:tc>
      </w:tr>
      <w:tr w:rsidR="00920DDF" w:rsidTr="00920DDF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DDF" w:rsidRDefault="00920DDF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 xml:space="preserve">Ministración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DDF" w:rsidRDefault="00C0447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4</w:t>
            </w:r>
          </w:p>
        </w:tc>
      </w:tr>
      <w:tr w:rsidR="00920DDF" w:rsidTr="00920DDF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DDF" w:rsidRDefault="00920DDF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Comprobación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DDF" w:rsidRDefault="00C0447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6</w:t>
            </w:r>
          </w:p>
        </w:tc>
      </w:tr>
      <w:tr w:rsidR="00C0447E" w:rsidTr="00920DDF">
        <w:trPr>
          <w:trHeight w:val="25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47E" w:rsidRDefault="00C0447E">
            <w:pPr>
              <w:spacing w:after="0" w:line="240" w:lineRule="auto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Otros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47E" w:rsidRDefault="00C0447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sz w:val="20"/>
                <w:lang w:eastAsia="es-ES"/>
              </w:rPr>
              <w:t>1</w:t>
            </w:r>
          </w:p>
        </w:tc>
      </w:tr>
      <w:tr w:rsidR="00920DDF" w:rsidTr="00920DDF">
        <w:trPr>
          <w:trHeight w:val="7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DDF" w:rsidRDefault="00920DDF">
            <w:pPr>
              <w:spacing w:after="0" w:line="240" w:lineRule="auto"/>
              <w:jc w:val="right"/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DDF" w:rsidRDefault="00C0447E">
            <w:pPr>
              <w:spacing w:after="0" w:line="240" w:lineRule="auto"/>
              <w:jc w:val="center"/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</w:pPr>
            <w:r>
              <w:rPr>
                <w:rFonts w:ascii="Adobe Caslon Pro" w:eastAsia="MS Mincho" w:hAnsi="Adobe Caslon Pro" w:cs="Arial"/>
                <w:b/>
                <w:sz w:val="20"/>
                <w:lang w:eastAsia="es-ES"/>
              </w:rPr>
              <w:t>20</w:t>
            </w:r>
          </w:p>
        </w:tc>
      </w:tr>
    </w:tbl>
    <w:p w:rsidR="00920DDF" w:rsidRDefault="00920DDF" w:rsidP="00920DDF">
      <w:pPr>
        <w:spacing w:after="0" w:line="276" w:lineRule="auto"/>
        <w:jc w:val="center"/>
        <w:rPr>
          <w:rFonts w:ascii="Adobe Caslon Pro" w:eastAsia="MS Mincho" w:hAnsi="Adobe Caslon Pro" w:cs="Arial"/>
          <w:lang w:eastAsia="es-ES"/>
        </w:rPr>
      </w:pPr>
    </w:p>
    <w:p w:rsidR="00920DDF" w:rsidRDefault="00920DDF" w:rsidP="00920DDF">
      <w:pPr>
        <w:spacing w:after="0" w:line="240" w:lineRule="auto"/>
        <w:rPr>
          <w:rFonts w:ascii="Adobe Caslon Pro" w:eastAsia="MS Mincho" w:hAnsi="Adobe Caslon Pro" w:cs="Arial"/>
          <w:sz w:val="20"/>
          <w:lang w:eastAsia="es-ES"/>
        </w:rPr>
      </w:pPr>
    </w:p>
    <w:p w:rsidR="00920DDF" w:rsidRDefault="00920DDF" w:rsidP="00920DDF">
      <w:pPr>
        <w:spacing w:after="0" w:line="276" w:lineRule="auto"/>
        <w:jc w:val="center"/>
        <w:rPr>
          <w:rFonts w:ascii="Adobe Caslon Pro" w:eastAsia="MS Mincho" w:hAnsi="Adobe Caslon Pro" w:cs="Arial"/>
          <w:sz w:val="18"/>
          <w:lang w:eastAsia="es-ES"/>
        </w:rPr>
      </w:pPr>
    </w:p>
    <w:p w:rsidR="000B60A6" w:rsidRDefault="000B60A6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0B60A6" w:rsidRDefault="000B60A6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</w:p>
    <w:p w:rsidR="00A53167" w:rsidRDefault="00A53167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bookmarkStart w:id="0" w:name="_GoBack"/>
      <w:bookmarkEnd w:id="0"/>
    </w:p>
    <w:p w:rsidR="00920DDF" w:rsidRPr="000E284C" w:rsidRDefault="00920DDF" w:rsidP="000E284C">
      <w:pPr>
        <w:spacing w:line="276" w:lineRule="auto"/>
        <w:jc w:val="both"/>
        <w:rPr>
          <w:rFonts w:ascii="Adobe Caslon Pro" w:hAnsi="Adobe Caslon Pro" w:cs="Arial"/>
        </w:rPr>
      </w:pPr>
      <w:r>
        <w:rPr>
          <w:rFonts w:ascii="Adobe Caslon Pro" w:eastAsia="MS Mincho" w:hAnsi="Adobe Caslon Pro" w:cs="Arial"/>
          <w:lang w:eastAsia="es-ES"/>
        </w:rPr>
        <w:t xml:space="preserve">Como se puede apreciar, los rubros que presentan el mayor número de áreas de oportunidad, corresponden a: </w:t>
      </w:r>
      <w:r>
        <w:rPr>
          <w:rFonts w:ascii="Adobe Caslon Pro" w:eastAsia="MS Mincho" w:hAnsi="Adobe Caslon Pro" w:cs="Arial"/>
          <w:b/>
          <w:lang w:eastAsia="es-ES"/>
        </w:rPr>
        <w:t>(solicitud)</w:t>
      </w:r>
      <w:r w:rsidR="00186B67">
        <w:rPr>
          <w:rFonts w:ascii="Adobe Caslon Pro" w:eastAsia="MS Mincho" w:hAnsi="Adobe Caslon Pro" w:cs="Arial"/>
          <w:lang w:eastAsia="es-ES"/>
        </w:rPr>
        <w:t xml:space="preserve"> con el 35</w:t>
      </w:r>
      <w:r>
        <w:rPr>
          <w:rFonts w:ascii="Adobe Caslon Pro" w:eastAsia="MS Mincho" w:hAnsi="Adobe Caslon Pro" w:cs="Arial"/>
          <w:lang w:eastAsia="es-ES"/>
        </w:rPr>
        <w:t>%,</w:t>
      </w:r>
      <w:r>
        <w:rPr>
          <w:rFonts w:ascii="Adobe Caslon Pro" w:eastAsia="MS Mincho" w:hAnsi="Adobe Caslon Pro" w:cs="Arial"/>
          <w:b/>
          <w:lang w:eastAsia="es-ES"/>
        </w:rPr>
        <w:t xml:space="preserve"> </w:t>
      </w:r>
      <w:r w:rsidR="00186B67">
        <w:rPr>
          <w:rFonts w:ascii="Adobe Caslon Pro" w:eastAsia="MS Mincho" w:hAnsi="Adobe Caslon Pro" w:cs="Arial"/>
          <w:b/>
          <w:lang w:eastAsia="es-ES"/>
        </w:rPr>
        <w:t xml:space="preserve">(comprobación) </w:t>
      </w:r>
      <w:r w:rsidR="00186B67">
        <w:rPr>
          <w:rFonts w:ascii="Adobe Caslon Pro" w:eastAsia="MS Mincho" w:hAnsi="Adobe Caslon Pro" w:cs="Arial"/>
          <w:lang w:eastAsia="es-ES"/>
        </w:rPr>
        <w:t>con el 30%,</w:t>
      </w:r>
      <w:r w:rsidR="00186B67">
        <w:rPr>
          <w:rFonts w:ascii="Adobe Caslon Pro" w:eastAsia="MS Mincho" w:hAnsi="Adobe Caslon Pro" w:cs="Arial"/>
          <w:b/>
          <w:lang w:eastAsia="es-ES"/>
        </w:rPr>
        <w:t xml:space="preserve"> </w:t>
      </w:r>
      <w:r>
        <w:rPr>
          <w:rFonts w:ascii="Adobe Caslon Pro" w:eastAsia="MS Mincho" w:hAnsi="Adobe Caslon Pro" w:cs="Arial"/>
          <w:b/>
          <w:lang w:eastAsia="es-ES"/>
        </w:rPr>
        <w:t>(ministración)</w:t>
      </w:r>
      <w:r w:rsidR="00186B67">
        <w:rPr>
          <w:rFonts w:ascii="Adobe Caslon Pro" w:eastAsia="MS Mincho" w:hAnsi="Adobe Caslon Pro" w:cs="Arial"/>
          <w:lang w:eastAsia="es-ES"/>
        </w:rPr>
        <w:t xml:space="preserve"> con el 20</w:t>
      </w:r>
      <w:r>
        <w:rPr>
          <w:rFonts w:ascii="Adobe Caslon Pro" w:eastAsia="MS Mincho" w:hAnsi="Adobe Caslon Pro" w:cs="Arial"/>
          <w:lang w:eastAsia="es-ES"/>
        </w:rPr>
        <w:t>%</w:t>
      </w:r>
      <w:r w:rsidR="00186B67">
        <w:rPr>
          <w:rFonts w:ascii="Adobe Caslon Pro" w:eastAsia="MS Mincho" w:hAnsi="Adobe Caslon Pro" w:cs="Arial"/>
          <w:lang w:eastAsia="es-ES"/>
        </w:rPr>
        <w:t>,</w:t>
      </w:r>
      <w:r>
        <w:rPr>
          <w:rFonts w:ascii="Adobe Caslon Pro" w:eastAsia="MS Mincho" w:hAnsi="Adobe Caslon Pro" w:cs="Arial"/>
          <w:lang w:eastAsia="es-ES"/>
        </w:rPr>
        <w:t xml:space="preserve"> </w:t>
      </w:r>
      <w:r>
        <w:rPr>
          <w:rFonts w:ascii="Adobe Caslon Pro" w:eastAsia="MS Mincho" w:hAnsi="Adobe Caslon Pro" w:cs="Arial"/>
          <w:b/>
          <w:lang w:eastAsia="es-ES"/>
        </w:rPr>
        <w:t>(autorización)</w:t>
      </w:r>
      <w:r w:rsidR="00186B67">
        <w:rPr>
          <w:rFonts w:ascii="Adobe Caslon Pro" w:eastAsia="MS Mincho" w:hAnsi="Adobe Caslon Pro" w:cs="Arial"/>
          <w:lang w:eastAsia="es-ES"/>
        </w:rPr>
        <w:t xml:space="preserve"> con el 10% </w:t>
      </w:r>
      <w:r w:rsidR="00186B67">
        <w:rPr>
          <w:rFonts w:ascii="Adobe Caslon Pro" w:hAnsi="Adobe Caslon Pro" w:cs="Arial"/>
          <w:b/>
        </w:rPr>
        <w:t>y</w:t>
      </w:r>
      <w:r w:rsidR="00186B67">
        <w:rPr>
          <w:rFonts w:ascii="Adobe Caslon Pro" w:hAnsi="Adobe Caslon Pro" w:cs="Arial"/>
        </w:rPr>
        <w:t xml:space="preserve"> con el porcentaje mínimo en otras áreas de oportunidad identificadas </w:t>
      </w:r>
      <w:r w:rsidR="00186B67">
        <w:rPr>
          <w:rFonts w:ascii="Adobe Caslon Pro" w:hAnsi="Adobe Caslon Pro" w:cs="Arial"/>
          <w:b/>
        </w:rPr>
        <w:t xml:space="preserve">(otros) </w:t>
      </w:r>
      <w:r w:rsidR="00186B67" w:rsidRPr="004F3E23">
        <w:rPr>
          <w:rFonts w:ascii="Adobe Caslon Pro" w:hAnsi="Adobe Caslon Pro" w:cs="Arial"/>
        </w:rPr>
        <w:t xml:space="preserve">con el </w:t>
      </w:r>
      <w:r w:rsidR="00186B67">
        <w:rPr>
          <w:rFonts w:ascii="Adobe Caslon Pro" w:hAnsi="Adobe Caslon Pro" w:cs="Arial"/>
        </w:rPr>
        <w:t>5% del total respectivamente.</w:t>
      </w:r>
    </w:p>
    <w:p w:rsidR="00920DDF" w:rsidRDefault="00920DDF" w:rsidP="00920DDF">
      <w:pPr>
        <w:spacing w:after="0" w:line="276" w:lineRule="auto"/>
        <w:jc w:val="both"/>
        <w:rPr>
          <w:rFonts w:ascii="Adobe Caslon Pro" w:eastAsia="MS Mincho" w:hAnsi="Adobe Caslon Pro" w:cs="Arial"/>
          <w:lang w:eastAsia="es-ES"/>
        </w:rPr>
      </w:pPr>
      <w:r>
        <w:rPr>
          <w:rFonts w:ascii="Adobe Caslon Pro" w:eastAsia="MS Mincho" w:hAnsi="Adobe Caslon Pro" w:cs="Arial"/>
          <w:lang w:eastAsia="es-ES"/>
        </w:rPr>
        <w:t>A continuación, se hace una referencia de las áreas de oportunidad en las que existe mayor recurrencia:</w:t>
      </w:r>
    </w:p>
    <w:p w:rsidR="00920DDF" w:rsidRDefault="00920DDF" w:rsidP="00920DDF">
      <w:pPr>
        <w:spacing w:after="0" w:line="276" w:lineRule="auto"/>
        <w:jc w:val="center"/>
        <w:rPr>
          <w:rFonts w:ascii="Adobe Caslon Pro" w:eastAsia="MS Mincho" w:hAnsi="Adobe Caslon Pro" w:cs="Arial"/>
          <w:sz w:val="20"/>
          <w:lang w:eastAsia="es-ES"/>
        </w:rPr>
      </w:pPr>
    </w:p>
    <w:p w:rsidR="00920DDF" w:rsidRDefault="00920DDF" w:rsidP="00920DDF">
      <w:pPr>
        <w:spacing w:after="0" w:line="276" w:lineRule="auto"/>
        <w:jc w:val="center"/>
        <w:rPr>
          <w:rFonts w:ascii="Adobe Caslon Pro" w:eastAsia="MS Mincho" w:hAnsi="Adobe Caslon Pro" w:cs="Arial"/>
          <w:sz w:val="20"/>
          <w:lang w:eastAsia="es-ES"/>
        </w:rPr>
      </w:pPr>
      <w:r>
        <w:rPr>
          <w:rFonts w:ascii="Adobe Caslon Pro" w:eastAsia="MS Mincho" w:hAnsi="Adobe Caslon Pro" w:cs="Arial"/>
          <w:sz w:val="20"/>
          <w:lang w:eastAsia="es-ES"/>
        </w:rPr>
        <w:t>ÁREAS DE OPORTUNIDAD</w:t>
      </w:r>
    </w:p>
    <w:p w:rsidR="00920DDF" w:rsidRPr="00041F5A" w:rsidRDefault="00920DDF" w:rsidP="00920DDF">
      <w:pPr>
        <w:spacing w:after="0" w:line="276" w:lineRule="auto"/>
        <w:jc w:val="center"/>
        <w:rPr>
          <w:rFonts w:ascii="Adobe Caslon Pro" w:eastAsia="MS Mincho" w:hAnsi="Adobe Caslon Pro" w:cs="Arial"/>
          <w:b/>
          <w:lang w:eastAsia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417"/>
        <w:gridCol w:w="6"/>
      </w:tblGrid>
      <w:tr w:rsidR="00920DDF" w:rsidRPr="00041F5A" w:rsidTr="00A53167">
        <w:trPr>
          <w:gridAfter w:val="1"/>
          <w:wAfter w:w="6" w:type="dxa"/>
          <w:trHeight w:val="515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0DDF" w:rsidRPr="00041F5A" w:rsidRDefault="00920DDF">
            <w:pPr>
              <w:spacing w:line="276" w:lineRule="auto"/>
              <w:jc w:val="center"/>
              <w:rPr>
                <w:rFonts w:ascii="Adobe Caslon Pro" w:hAnsi="Adobe Caslon Pro" w:cs="Arial"/>
                <w:lang w:eastAsia="es-ES"/>
              </w:rPr>
            </w:pPr>
            <w:r w:rsidRPr="00041F5A">
              <w:rPr>
                <w:rFonts w:ascii="Adobe Caslon Pro" w:hAnsi="Adobe Caslon Pro" w:cs="Arial"/>
                <w:lang w:eastAsia="es-ES"/>
              </w:rPr>
              <w:t>Documento revisado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0DDF" w:rsidRPr="00041F5A" w:rsidRDefault="00920DDF">
            <w:pPr>
              <w:spacing w:line="276" w:lineRule="auto"/>
              <w:jc w:val="center"/>
              <w:rPr>
                <w:rFonts w:ascii="Adobe Caslon Pro" w:hAnsi="Adobe Caslon Pro" w:cs="Arial"/>
                <w:lang w:eastAsia="es-ES"/>
              </w:rPr>
            </w:pPr>
            <w:r w:rsidRPr="00041F5A">
              <w:rPr>
                <w:rFonts w:ascii="Adobe Caslon Pro" w:hAnsi="Adobe Caslon Pro" w:cs="Arial"/>
                <w:lang w:eastAsia="es-ES"/>
              </w:rPr>
              <w:t>Acciones</w:t>
            </w:r>
          </w:p>
        </w:tc>
      </w:tr>
      <w:tr w:rsidR="00A53167" w:rsidRPr="00A53167" w:rsidTr="00A53167">
        <w:trPr>
          <w:trHeight w:val="823"/>
        </w:trPr>
        <w:tc>
          <w:tcPr>
            <w:tcW w:w="2405" w:type="dxa"/>
            <w:hideMark/>
          </w:tcPr>
          <w:p w:rsidR="00A53167" w:rsidRPr="00A53167" w:rsidRDefault="00A53167" w:rsidP="00A53167">
            <w:pPr>
              <w:spacing w:line="240" w:lineRule="auto"/>
              <w:jc w:val="both"/>
              <w:rPr>
                <w:rFonts w:ascii="Adobe Caslon Pro" w:hAnsi="Adobe Caslon Pro" w:cs="Arial"/>
                <w:sz w:val="18"/>
                <w:lang w:eastAsia="es-ES"/>
              </w:rPr>
            </w:pP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Contrato de prestación de servicios entre el beneficiario y el prestador de servicios.</w:t>
            </w:r>
          </w:p>
        </w:tc>
        <w:tc>
          <w:tcPr>
            <w:tcW w:w="6423" w:type="dxa"/>
            <w:gridSpan w:val="2"/>
            <w:hideMark/>
          </w:tcPr>
          <w:p w:rsidR="00A53167" w:rsidRDefault="00A53167" w:rsidP="00A53167">
            <w:pPr>
              <w:spacing w:line="240" w:lineRule="auto"/>
              <w:jc w:val="both"/>
              <w:rPr>
                <w:rFonts w:ascii="Adobe Caslon Pro" w:hAnsi="Adobe Caslon Pro" w:cs="Arial"/>
                <w:sz w:val="18"/>
                <w:lang w:eastAsia="es-ES"/>
              </w:rPr>
            </w:pPr>
            <w:r>
              <w:rPr>
                <w:rFonts w:ascii="Adobe Caslon Pro" w:hAnsi="Adobe Caslon Pro" w:cs="Arial"/>
                <w:sz w:val="18"/>
                <w:lang w:eastAsia="es-ES"/>
              </w:rPr>
              <w:t>*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Existe diferencia entre la cotización y la cláusula 5a y 6a del contrato, en cuanto al el costo total del servicio.</w:t>
            </w:r>
          </w:p>
          <w:p w:rsidR="00A53167" w:rsidRPr="00A53167" w:rsidRDefault="00A53167" w:rsidP="00A53167">
            <w:pPr>
              <w:spacing w:line="240" w:lineRule="auto"/>
              <w:jc w:val="both"/>
              <w:rPr>
                <w:rFonts w:ascii="Adobe Caslon Pro" w:hAnsi="Adobe Caslon Pro" w:cs="Arial"/>
                <w:sz w:val="18"/>
                <w:lang w:eastAsia="es-ES"/>
              </w:rPr>
            </w:pPr>
            <w:r>
              <w:rPr>
                <w:rFonts w:ascii="Adobe Caslon Pro" w:hAnsi="Adobe Caslon Pro" w:cs="Arial"/>
                <w:sz w:val="18"/>
                <w:lang w:eastAsia="es-ES"/>
              </w:rPr>
              <w:t>*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Asimismo la fecha de suscripción es anterior a la recepción</w:t>
            </w:r>
            <w:r>
              <w:rPr>
                <w:rFonts w:ascii="Adobe Caslon Pro" w:hAnsi="Adobe Caslon Pro" w:cs="Arial"/>
                <w:sz w:val="18"/>
                <w:lang w:eastAsia="es-ES"/>
              </w:rPr>
              <w:t xml:space="preserve"> de l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a solicitud y autorización del apoyo lo cual es incongruente.</w:t>
            </w:r>
          </w:p>
        </w:tc>
      </w:tr>
      <w:tr w:rsidR="00A53167" w:rsidRPr="00A53167" w:rsidTr="00A53167">
        <w:trPr>
          <w:trHeight w:val="837"/>
        </w:trPr>
        <w:tc>
          <w:tcPr>
            <w:tcW w:w="2405" w:type="dxa"/>
            <w:hideMark/>
          </w:tcPr>
          <w:p w:rsidR="00A53167" w:rsidRPr="00A53167" w:rsidRDefault="00A53167" w:rsidP="00A53167">
            <w:pPr>
              <w:spacing w:line="240" w:lineRule="auto"/>
              <w:jc w:val="both"/>
              <w:rPr>
                <w:rFonts w:ascii="Adobe Caslon Pro" w:hAnsi="Adobe Caslon Pro" w:cs="Arial"/>
                <w:sz w:val="18"/>
                <w:lang w:eastAsia="es-ES"/>
              </w:rPr>
            </w:pP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Documento que acredite al prestador de servicios para prestar servicios técnicos de los programas.</w:t>
            </w:r>
          </w:p>
        </w:tc>
        <w:tc>
          <w:tcPr>
            <w:tcW w:w="6423" w:type="dxa"/>
            <w:gridSpan w:val="2"/>
            <w:hideMark/>
          </w:tcPr>
          <w:p w:rsidR="00A53167" w:rsidRPr="00A53167" w:rsidRDefault="00A53167" w:rsidP="00A53167">
            <w:pPr>
              <w:spacing w:line="240" w:lineRule="auto"/>
              <w:jc w:val="both"/>
              <w:rPr>
                <w:rFonts w:ascii="Adobe Caslon Pro" w:hAnsi="Adobe Caslon Pro" w:cs="Arial"/>
                <w:sz w:val="18"/>
                <w:lang w:eastAsia="es-ES"/>
              </w:rPr>
            </w:pPr>
            <w:r>
              <w:rPr>
                <w:rFonts w:ascii="Adobe Caslon Pro" w:hAnsi="Adobe Caslon Pro" w:cs="Arial"/>
                <w:sz w:val="18"/>
                <w:lang w:eastAsia="es-ES"/>
              </w:rPr>
              <w:t>*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 xml:space="preserve">Falta documento que acredite que pertenece a la red de la </w:t>
            </w:r>
            <w:r>
              <w:rPr>
                <w:rFonts w:ascii="Adobe Caslon Pro" w:hAnsi="Adobe Caslon Pro" w:cs="Arial"/>
                <w:sz w:val="18"/>
                <w:lang w:eastAsia="es-ES"/>
              </w:rPr>
              <w:t>F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 xml:space="preserve">inanciera, de acuerdo a las reglas de operación en el numeral 8.3.3.3. </w:t>
            </w:r>
            <w:r>
              <w:rPr>
                <w:rFonts w:ascii="Adobe Caslon Pro" w:hAnsi="Adobe Caslon Pro" w:cs="Arial"/>
                <w:sz w:val="18"/>
                <w:lang w:eastAsia="es-ES"/>
              </w:rPr>
              <w:t>ú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ltimo párrafo</w:t>
            </w:r>
          </w:p>
        </w:tc>
      </w:tr>
      <w:tr w:rsidR="00A53167" w:rsidRPr="00A53167" w:rsidTr="00A53167">
        <w:trPr>
          <w:trHeight w:val="1417"/>
        </w:trPr>
        <w:tc>
          <w:tcPr>
            <w:tcW w:w="2405" w:type="dxa"/>
            <w:hideMark/>
          </w:tcPr>
          <w:p w:rsidR="00A53167" w:rsidRPr="00A53167" w:rsidRDefault="00A53167" w:rsidP="00A53167">
            <w:pPr>
              <w:spacing w:line="240" w:lineRule="auto"/>
              <w:jc w:val="both"/>
              <w:rPr>
                <w:rFonts w:ascii="Adobe Caslon Pro" w:hAnsi="Adobe Caslon Pro" w:cs="Arial"/>
                <w:sz w:val="18"/>
                <w:lang w:eastAsia="es-ES"/>
              </w:rPr>
            </w:pP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Acta de finalización del servicio.</w:t>
            </w:r>
          </w:p>
        </w:tc>
        <w:tc>
          <w:tcPr>
            <w:tcW w:w="6423" w:type="dxa"/>
            <w:gridSpan w:val="2"/>
            <w:hideMark/>
          </w:tcPr>
          <w:p w:rsidR="00A53167" w:rsidRDefault="00A53167" w:rsidP="00A53167">
            <w:pPr>
              <w:spacing w:line="240" w:lineRule="auto"/>
              <w:jc w:val="both"/>
              <w:rPr>
                <w:rFonts w:ascii="Adobe Caslon Pro" w:hAnsi="Adobe Caslon Pro" w:cs="Arial"/>
                <w:sz w:val="18"/>
                <w:lang w:eastAsia="es-ES"/>
              </w:rPr>
            </w:pPr>
            <w:r>
              <w:rPr>
                <w:rFonts w:ascii="Adobe Caslon Pro" w:hAnsi="Adobe Caslon Pro" w:cs="Arial"/>
                <w:sz w:val="18"/>
                <w:lang w:eastAsia="es-ES"/>
              </w:rPr>
              <w:t>*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Es de fecha 07-mzo-2018, y en ella se indica en los resultados obtenidos que el beneficiario liquidó la aportación en especie, lo cual es incorrecto.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br/>
            </w:r>
            <w:r>
              <w:rPr>
                <w:rFonts w:ascii="Adobe Caslon Pro" w:hAnsi="Adobe Caslon Pro" w:cs="Arial"/>
                <w:sz w:val="18"/>
                <w:lang w:eastAsia="es-ES"/>
              </w:rPr>
              <w:t>*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Asimismo señala que la FND ha liquidado en su totalidad al P</w:t>
            </w:r>
            <w:r>
              <w:rPr>
                <w:rFonts w:ascii="Adobe Caslon Pro" w:hAnsi="Adobe Caslon Pro" w:cs="Arial"/>
                <w:sz w:val="18"/>
                <w:lang w:eastAsia="es-ES"/>
              </w:rPr>
              <w:t>.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S</w:t>
            </w:r>
            <w:r>
              <w:rPr>
                <w:rFonts w:ascii="Adobe Caslon Pro" w:hAnsi="Adobe Caslon Pro" w:cs="Arial"/>
                <w:sz w:val="18"/>
                <w:lang w:eastAsia="es-ES"/>
              </w:rPr>
              <w:t>.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 xml:space="preserve"> el apoyo autorizado, lo cual es incorrecto.</w:t>
            </w:r>
          </w:p>
          <w:p w:rsidR="00A53167" w:rsidRPr="00A53167" w:rsidRDefault="00A53167" w:rsidP="00A53167">
            <w:pPr>
              <w:spacing w:line="240" w:lineRule="auto"/>
              <w:jc w:val="both"/>
              <w:rPr>
                <w:rFonts w:ascii="Adobe Caslon Pro" w:hAnsi="Adobe Caslon Pro" w:cs="Arial"/>
                <w:sz w:val="18"/>
                <w:lang w:eastAsia="es-ES"/>
              </w:rPr>
            </w:pP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 xml:space="preserve">Por otra parte se indica que el </w:t>
            </w:r>
            <w:r>
              <w:rPr>
                <w:rFonts w:ascii="Adobe Caslon Pro" w:hAnsi="Adobe Caslon Pro" w:cs="Arial"/>
                <w:sz w:val="18"/>
                <w:lang w:eastAsia="es-ES"/>
              </w:rPr>
              <w:t>P.S.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 xml:space="preserve"> hace constar que recibió los pagos correspondientes a cada ministración, lo cual es incorrecto.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br/>
            </w:r>
            <w:r>
              <w:rPr>
                <w:rFonts w:ascii="Adobe Caslon Pro" w:hAnsi="Adobe Caslon Pro" w:cs="Arial"/>
                <w:sz w:val="18"/>
                <w:lang w:eastAsia="es-ES"/>
              </w:rPr>
              <w:t>*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Todos estos eventos fueron posteriores al 07-mzo-2018</w:t>
            </w:r>
          </w:p>
        </w:tc>
      </w:tr>
      <w:tr w:rsidR="00A53167" w:rsidRPr="00A53167" w:rsidTr="00A53167">
        <w:trPr>
          <w:trHeight w:val="831"/>
        </w:trPr>
        <w:tc>
          <w:tcPr>
            <w:tcW w:w="2405" w:type="dxa"/>
            <w:hideMark/>
          </w:tcPr>
          <w:p w:rsidR="00A53167" w:rsidRPr="00A53167" w:rsidRDefault="00A53167" w:rsidP="00A53167">
            <w:pPr>
              <w:spacing w:line="240" w:lineRule="auto"/>
              <w:jc w:val="both"/>
              <w:rPr>
                <w:rFonts w:ascii="Adobe Caslon Pro" w:hAnsi="Adobe Caslon Pro" w:cs="Arial"/>
                <w:sz w:val="18"/>
                <w:lang w:eastAsia="es-ES"/>
              </w:rPr>
            </w:pP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Documentos generados por el servicio a través del otorgamiento del apoyo.</w:t>
            </w:r>
          </w:p>
        </w:tc>
        <w:tc>
          <w:tcPr>
            <w:tcW w:w="6423" w:type="dxa"/>
            <w:gridSpan w:val="2"/>
            <w:hideMark/>
          </w:tcPr>
          <w:p w:rsidR="00A53167" w:rsidRPr="00A53167" w:rsidRDefault="00A53167" w:rsidP="00A53167">
            <w:pPr>
              <w:spacing w:line="240" w:lineRule="auto"/>
              <w:jc w:val="both"/>
              <w:rPr>
                <w:rFonts w:ascii="Adobe Caslon Pro" w:hAnsi="Adobe Caslon Pro" w:cs="Arial"/>
                <w:sz w:val="18"/>
                <w:lang w:eastAsia="es-ES"/>
              </w:rPr>
            </w:pPr>
            <w:r>
              <w:rPr>
                <w:rFonts w:ascii="Adobe Caslon Pro" w:hAnsi="Adobe Caslon Pro" w:cs="Arial"/>
                <w:sz w:val="18"/>
                <w:lang w:eastAsia="es-ES"/>
              </w:rPr>
              <w:t>*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Las láminas de la presentación contienen en la parte superior derecha fecha posterior (12-abr-2018), a la del evento, lo cual no cumple con lo establecido en el numeral 8.4.</w:t>
            </w:r>
            <w:r>
              <w:rPr>
                <w:rFonts w:ascii="Adobe Caslon Pro" w:hAnsi="Adobe Caslon Pro" w:cs="Arial"/>
                <w:sz w:val="18"/>
                <w:lang w:eastAsia="es-ES"/>
              </w:rPr>
              <w:t>4 antepenúltimo párrafo de las Reglas de O</w:t>
            </w:r>
            <w:r w:rsidRPr="00A53167">
              <w:rPr>
                <w:rFonts w:ascii="Adobe Caslon Pro" w:hAnsi="Adobe Caslon Pro" w:cs="Arial"/>
                <w:sz w:val="18"/>
                <w:lang w:eastAsia="es-ES"/>
              </w:rPr>
              <w:t>peración</w:t>
            </w:r>
          </w:p>
        </w:tc>
      </w:tr>
    </w:tbl>
    <w:p w:rsidR="00A53167" w:rsidRDefault="00A53167" w:rsidP="000E284C">
      <w:pPr>
        <w:spacing w:before="240" w:line="360" w:lineRule="auto"/>
        <w:jc w:val="both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</w:p>
    <w:p w:rsidR="00920DDF" w:rsidRPr="000E284C" w:rsidRDefault="000E284C" w:rsidP="000E284C">
      <w:pPr>
        <w:spacing w:before="240" w:line="360" w:lineRule="auto"/>
        <w:jc w:val="both"/>
        <w:rPr>
          <w:rFonts w:ascii="Adobe Caslon Pro" w:eastAsia="MS Mincho" w:hAnsi="Adobe Caslon Pro" w:cs="Arial"/>
          <w:sz w:val="20"/>
          <w:szCs w:val="24"/>
          <w:lang w:val="es-ES_tradnl" w:eastAsia="es-ES"/>
        </w:rPr>
      </w:pPr>
      <w:r w:rsidRPr="000E284C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El estatus de las áreas de oportunidad, se dan a conocer conforme a lo dispuesto en los numerales </w:t>
      </w:r>
      <w:r w:rsidRPr="000E284C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5.4, 5.7 y 5.11 </w:t>
      </w:r>
      <w:r w:rsidRPr="000E284C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0E284C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 xml:space="preserve">5. Políticas; 6.7, 6.13, 6.18, y 6.23 </w:t>
      </w:r>
      <w:r w:rsidRPr="000E284C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del apartado </w:t>
      </w:r>
      <w:r w:rsidRPr="000E284C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0E284C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Manual de Políticas y Procedimientos para el Seguimiento Normativo y la Revisión de Expedientes, de los Programas Operados por la Dirección General Adjunta de Promoción de Negocios y Coordinación Regional; inciso </w:t>
      </w:r>
      <w:r w:rsidRPr="000E284C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j)</w:t>
      </w:r>
      <w:r w:rsidRPr="000E284C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numeral </w:t>
      </w:r>
      <w:r w:rsidRPr="000E284C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4</w:t>
      </w:r>
      <w:r w:rsidRPr="000E284C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 xml:space="preserve"> del apartado </w:t>
      </w:r>
      <w:r w:rsidRPr="000E284C">
        <w:rPr>
          <w:rFonts w:ascii="Adobe Caslon Pro" w:eastAsia="MS Mincho" w:hAnsi="Adobe Caslon Pro" w:cs="Arial"/>
          <w:b/>
          <w:sz w:val="20"/>
          <w:szCs w:val="24"/>
          <w:lang w:val="es-ES_tradnl" w:eastAsia="es-ES"/>
        </w:rPr>
        <w:t>6. Responsabilidades</w:t>
      </w:r>
      <w:r w:rsidRPr="000E284C">
        <w:rPr>
          <w:rFonts w:ascii="Adobe Caslon Pro" w:eastAsia="MS Mincho" w:hAnsi="Adobe Caslon Pro" w:cs="Arial"/>
          <w:sz w:val="20"/>
          <w:szCs w:val="24"/>
          <w:lang w:val="es-ES_tradnl" w:eastAsia="es-ES"/>
        </w:rPr>
        <w:t>, del Manual de Procedimientos de Operación de los componentes de Mezcla de Recursos, a fin de que cuente con elementos que le permitan dar seguimiento a las áreas de oportunidad determinadas, o en su caso, determinar las acciones que se consideren procedentes.</w:t>
      </w:r>
    </w:p>
    <w:sectPr w:rsidR="00920DDF" w:rsidRPr="000E28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76" w:rsidRDefault="00691376" w:rsidP="000B60A6">
      <w:pPr>
        <w:spacing w:after="0" w:line="240" w:lineRule="auto"/>
      </w:pPr>
      <w:r>
        <w:separator/>
      </w:r>
    </w:p>
  </w:endnote>
  <w:endnote w:type="continuationSeparator" w:id="0">
    <w:p w:rsidR="00691376" w:rsidRDefault="00691376" w:rsidP="000B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76" w:rsidRDefault="00691376" w:rsidP="000B60A6">
      <w:pPr>
        <w:spacing w:after="0" w:line="240" w:lineRule="auto"/>
      </w:pPr>
      <w:r>
        <w:separator/>
      </w:r>
    </w:p>
  </w:footnote>
  <w:footnote w:type="continuationSeparator" w:id="0">
    <w:p w:rsidR="00691376" w:rsidRDefault="00691376" w:rsidP="000B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A6" w:rsidRDefault="000B60A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31A0714" wp14:editId="188E49E2">
          <wp:simplePos x="0" y="0"/>
          <wp:positionH relativeFrom="page">
            <wp:align>left</wp:align>
          </wp:positionH>
          <wp:positionV relativeFrom="paragraph">
            <wp:posOffset>-452810</wp:posOffset>
          </wp:positionV>
          <wp:extent cx="7774656" cy="10125418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CORPORA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656" cy="1012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6162"/>
    <w:multiLevelType w:val="hybridMultilevel"/>
    <w:tmpl w:val="EA9E6D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DF"/>
    <w:rsid w:val="00041F5A"/>
    <w:rsid w:val="000B60A6"/>
    <w:rsid w:val="000E284C"/>
    <w:rsid w:val="00186B67"/>
    <w:rsid w:val="002A59A9"/>
    <w:rsid w:val="003F26BD"/>
    <w:rsid w:val="006118D8"/>
    <w:rsid w:val="00691376"/>
    <w:rsid w:val="00920DDF"/>
    <w:rsid w:val="00A53167"/>
    <w:rsid w:val="00B61D07"/>
    <w:rsid w:val="00C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B7788"/>
  <w15:chartTrackingRefBased/>
  <w15:docId w15:val="{54822EB7-8780-4DFF-A5A8-0CBC471A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DD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DDF"/>
    <w:pPr>
      <w:ind w:left="720"/>
      <w:contextualSpacing/>
    </w:pPr>
  </w:style>
  <w:style w:type="table" w:styleId="Tablaconcuadrcula">
    <w:name w:val="Table Grid"/>
    <w:basedOn w:val="Tablanormal"/>
    <w:rsid w:val="00920DDF"/>
    <w:pPr>
      <w:spacing w:after="0" w:line="240" w:lineRule="auto"/>
    </w:pPr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6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0A6"/>
  </w:style>
  <w:style w:type="paragraph" w:styleId="Piedepgina">
    <w:name w:val="footer"/>
    <w:basedOn w:val="Normal"/>
    <w:link w:val="PiedepginaCar"/>
    <w:uiPriority w:val="99"/>
    <w:unhideWhenUsed/>
    <w:rsid w:val="000B6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713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7</cp:revision>
  <dcterms:created xsi:type="dcterms:W3CDTF">2018-09-10T16:16:00Z</dcterms:created>
  <dcterms:modified xsi:type="dcterms:W3CDTF">2018-09-10T21:15:00Z</dcterms:modified>
</cp:coreProperties>
</file>