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947" w:rsidRPr="00532691" w:rsidRDefault="00790947" w:rsidP="00790947">
      <w:pPr>
        <w:spacing w:after="0" w:line="276" w:lineRule="auto"/>
        <w:jc w:val="center"/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</w:pPr>
      <w:r w:rsidRPr="00532691"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  <w:t>Gerencia de Seguimiento Normativo de los Programas de Apoyo</w:t>
      </w:r>
    </w:p>
    <w:p w:rsidR="00790947" w:rsidRPr="00532691" w:rsidRDefault="00790947" w:rsidP="00790947">
      <w:pPr>
        <w:spacing w:after="0" w:line="276" w:lineRule="auto"/>
        <w:jc w:val="center"/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</w:pPr>
      <w:r w:rsidRPr="00532691"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  <w:t>Resumen Ejecutivo de Expedientes Revisados de los Programas Externos.</w:t>
      </w:r>
    </w:p>
    <w:p w:rsidR="00790947" w:rsidRPr="00532691" w:rsidRDefault="00790947" w:rsidP="00790947">
      <w:pPr>
        <w:spacing w:after="0" w:line="276" w:lineRule="auto"/>
        <w:jc w:val="center"/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</w:pPr>
      <w:r w:rsidRPr="00532691"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  <w:t xml:space="preserve">Coordinación Regional </w:t>
      </w:r>
      <w:r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  <w:t>Sur</w:t>
      </w:r>
      <w:r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  <w:t>este</w:t>
      </w:r>
    </w:p>
    <w:p w:rsidR="00790947" w:rsidRPr="00532691" w:rsidRDefault="00790947" w:rsidP="00790947">
      <w:pPr>
        <w:spacing w:after="0" w:line="276" w:lineRule="auto"/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</w:pPr>
    </w:p>
    <w:p w:rsidR="00790947" w:rsidRPr="00532691" w:rsidRDefault="00790947" w:rsidP="00790947">
      <w:pPr>
        <w:spacing w:after="0" w:line="276" w:lineRule="auto"/>
        <w:jc w:val="both"/>
        <w:rPr>
          <w:rFonts w:ascii="Adobe Caslon Pro" w:eastAsia="MS Mincho" w:hAnsi="Adobe Caslon Pro" w:cs="Arial"/>
          <w:szCs w:val="24"/>
          <w:lang w:val="es-ES_tradnl" w:eastAsia="es-ES"/>
        </w:rPr>
      </w:pPr>
      <w:r w:rsidRPr="00532691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>Derivado de las funciones encomendadas a la GSNPA, de revisar los expedientes de las solicitudes de apoyo que hubieran recibido recursos correspondientes a los Programas de Apoyo, Internos y Externos, a cargo de la Dirección General Adjunta de Promoción de Negocios y Coordinación Regional; para realizar un análisis y evaluación de los procesos establecidos por la normatividad que los rige; y asimismo coordinar la elaboración de las acciones de mejora que fortalezcan el control interno de los procesos de entrega, supervisión y comprobación de los recursos de los Programas antes mencionados.</w:t>
      </w:r>
    </w:p>
    <w:p w:rsidR="00790947" w:rsidRPr="00532691" w:rsidRDefault="00790947" w:rsidP="00790947">
      <w:pPr>
        <w:spacing w:after="0" w:line="276" w:lineRule="auto"/>
        <w:jc w:val="both"/>
        <w:rPr>
          <w:rFonts w:ascii="Adobe Caslon Pro" w:eastAsia="MS Mincho" w:hAnsi="Adobe Caslon Pro" w:cs="Arial"/>
          <w:sz w:val="24"/>
          <w:szCs w:val="24"/>
          <w:lang w:val="es-ES_tradnl" w:eastAsia="es-ES"/>
        </w:rPr>
      </w:pPr>
    </w:p>
    <w:p w:rsidR="00790947" w:rsidRPr="00532691" w:rsidRDefault="00790947" w:rsidP="00790947">
      <w:pPr>
        <w:spacing w:after="0" w:line="276" w:lineRule="auto"/>
        <w:jc w:val="both"/>
        <w:rPr>
          <w:rFonts w:ascii="Adobe Caslon Pro" w:eastAsia="MS Mincho" w:hAnsi="Adobe Caslon Pro" w:cs="Arial"/>
          <w:sz w:val="24"/>
          <w:szCs w:val="24"/>
          <w:lang w:val="es-ES_tradnl" w:eastAsia="es-ES"/>
        </w:rPr>
      </w:pPr>
      <w:r w:rsidRPr="00532691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 xml:space="preserve"> Conforme al Programa de Trabajo de 2018, para revisar los expedientes correspondientes al ejercicio 2017 y con el objeto de incrementar la eficiencia y eficacia en su gestión, dando certeza del cumplimiento a la normativa aplicable vigente a los programas internos y externos; se llevó a cabo la evaluación de los controles internos de los procesos de operación para el otorgamiento de los apoyos internos y externos.</w:t>
      </w:r>
    </w:p>
    <w:p w:rsidR="00790947" w:rsidRPr="00532691" w:rsidRDefault="00790947" w:rsidP="00790947">
      <w:pPr>
        <w:spacing w:after="0" w:line="276" w:lineRule="auto"/>
        <w:jc w:val="both"/>
        <w:rPr>
          <w:rFonts w:ascii="Adobe Caslon Pro" w:eastAsia="MS Mincho" w:hAnsi="Adobe Caslon Pro" w:cs="Arial"/>
          <w:sz w:val="24"/>
          <w:szCs w:val="24"/>
          <w:lang w:val="es-ES_tradnl" w:eastAsia="es-ES"/>
        </w:rPr>
      </w:pPr>
      <w:r w:rsidRPr="00532691">
        <w:rPr>
          <w:rFonts w:ascii="Adobe Caslon Pro" w:eastAsia="MS Mincho" w:hAnsi="Adobe Caslon Pro" w:cs="Arial"/>
          <w:sz w:val="24"/>
          <w:szCs w:val="24"/>
          <w:highlight w:val="yellow"/>
          <w:lang w:val="es-ES_tradnl" w:eastAsia="es-ES"/>
        </w:rPr>
        <w:t>OFICIO</w:t>
      </w:r>
    </w:p>
    <w:p w:rsidR="00790947" w:rsidRPr="00532691" w:rsidRDefault="00790947" w:rsidP="00790947">
      <w:pPr>
        <w:spacing w:after="0" w:line="276" w:lineRule="auto"/>
        <w:jc w:val="both"/>
        <w:rPr>
          <w:rFonts w:ascii="Adobe Caslon Pro" w:eastAsia="MS Mincho" w:hAnsi="Adobe Caslon Pro" w:cs="Arial"/>
          <w:sz w:val="24"/>
          <w:szCs w:val="24"/>
          <w:lang w:val="es-ES_tradnl" w:eastAsia="es-ES"/>
        </w:rPr>
      </w:pPr>
      <w:r w:rsidRPr="00532691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 xml:space="preserve"> </w:t>
      </w:r>
    </w:p>
    <w:p w:rsidR="00790947" w:rsidRPr="00532691" w:rsidRDefault="00790947" w:rsidP="00790947">
      <w:pPr>
        <w:spacing w:after="0" w:line="276" w:lineRule="auto"/>
        <w:jc w:val="both"/>
        <w:rPr>
          <w:rFonts w:ascii="Adobe Caslon Pro" w:eastAsia="MS Mincho" w:hAnsi="Adobe Caslon Pro" w:cs="Arial"/>
          <w:sz w:val="24"/>
          <w:szCs w:val="24"/>
          <w:lang w:val="es-ES_tradnl" w:eastAsia="es-ES"/>
        </w:rPr>
      </w:pPr>
      <w:r w:rsidRPr="00532691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>De los 1,109 expedientes integrados por concepto de los Programas Externos que fueron ejecutados en las 80 agencias, correspondientes al ejercicio de 2017, se seleccionaron 38 expedientes; para su revisión, con la herramienta de “Muestra estadística y aleatoria”, el cual nos da un nivel de confianza del 90%, una Probabilidad de error del 4% y Precisión del 5%; operados en el ejercicio 2017.</w:t>
      </w:r>
    </w:p>
    <w:p w:rsidR="00790947" w:rsidRPr="00532691" w:rsidRDefault="00790947" w:rsidP="00790947">
      <w:pPr>
        <w:spacing w:after="0" w:line="276" w:lineRule="auto"/>
        <w:jc w:val="both"/>
        <w:rPr>
          <w:rFonts w:ascii="Adobe Caslon Pro" w:eastAsia="MS Mincho" w:hAnsi="Adobe Caslon Pro" w:cs="Arial"/>
          <w:sz w:val="24"/>
          <w:szCs w:val="24"/>
          <w:lang w:val="es-ES_tradnl" w:eastAsia="es-ES"/>
        </w:rPr>
      </w:pPr>
    </w:p>
    <w:p w:rsidR="00790947" w:rsidRPr="00532691" w:rsidRDefault="00790947" w:rsidP="00790947">
      <w:pPr>
        <w:spacing w:after="0" w:line="276" w:lineRule="auto"/>
        <w:jc w:val="both"/>
        <w:rPr>
          <w:rFonts w:ascii="Adobe Caslon Pro" w:eastAsia="MS Mincho" w:hAnsi="Adobe Caslon Pro" w:cs="Arial"/>
          <w:sz w:val="24"/>
          <w:szCs w:val="24"/>
          <w:lang w:val="es-ES_tradnl" w:eastAsia="es-ES"/>
        </w:rPr>
      </w:pPr>
      <w:r>
        <w:rPr>
          <w:rFonts w:ascii="Adobe Caslon Pro" w:eastAsia="MS Mincho" w:hAnsi="Adobe Caslon Pro" w:cs="Arial"/>
          <w:sz w:val="24"/>
          <w:szCs w:val="24"/>
          <w:lang w:val="es-ES_tradnl" w:eastAsia="es-ES"/>
        </w:rPr>
        <w:t>De la revisión de 3</w:t>
      </w:r>
      <w:r w:rsidRPr="00532691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 xml:space="preserve"> expedientes integrados por los apoyos otorgados mediante el programa de:</w:t>
      </w:r>
    </w:p>
    <w:p w:rsidR="00790947" w:rsidRDefault="00790947" w:rsidP="00790947">
      <w:pPr>
        <w:pStyle w:val="Prrafodelista"/>
        <w:spacing w:after="0" w:line="276" w:lineRule="auto"/>
        <w:jc w:val="both"/>
        <w:rPr>
          <w:rFonts w:ascii="Adobe Caslon Pro" w:eastAsia="MS Mincho" w:hAnsi="Adobe Caslon Pro" w:cs="Arial"/>
          <w:sz w:val="24"/>
          <w:szCs w:val="24"/>
          <w:lang w:val="es-ES_tradnl" w:eastAsia="es-ES"/>
        </w:rPr>
      </w:pPr>
    </w:p>
    <w:p w:rsidR="00790947" w:rsidRPr="00D70614" w:rsidRDefault="00790947" w:rsidP="00790947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dobe Caslon Pro" w:hAnsi="Adobe Caslon Pro" w:cs="Arial"/>
        </w:rPr>
      </w:pPr>
      <w:r w:rsidRPr="00423494">
        <w:rPr>
          <w:rFonts w:ascii="Adobe Caslon Pro" w:hAnsi="Adobe Caslon Pro" w:cs="Arial"/>
        </w:rPr>
        <w:t xml:space="preserve">Programa de </w:t>
      </w:r>
      <w:r>
        <w:rPr>
          <w:rFonts w:ascii="Adobe Caslon Pro" w:hAnsi="Adobe Caslon Pro" w:cs="Arial"/>
        </w:rPr>
        <w:t>Productividad y Competitividad Agroalimentaria.</w:t>
      </w:r>
    </w:p>
    <w:p w:rsidR="00790947" w:rsidRPr="00532691" w:rsidRDefault="00790947" w:rsidP="00790947">
      <w:pPr>
        <w:spacing w:after="0" w:line="276" w:lineRule="auto"/>
        <w:jc w:val="both"/>
        <w:rPr>
          <w:rFonts w:ascii="Adobe Caslon Pro" w:eastAsia="MS Mincho" w:hAnsi="Adobe Caslon Pro" w:cs="Arial"/>
          <w:sz w:val="24"/>
          <w:szCs w:val="24"/>
          <w:lang w:val="es-ES_tradnl" w:eastAsia="es-ES"/>
        </w:rPr>
      </w:pPr>
    </w:p>
    <w:p w:rsidR="00790947" w:rsidRDefault="00790947" w:rsidP="00790947">
      <w:pPr>
        <w:spacing w:after="0" w:line="276" w:lineRule="auto"/>
        <w:jc w:val="both"/>
        <w:rPr>
          <w:rFonts w:ascii="Adobe Caslon Pro" w:eastAsia="MS Mincho" w:hAnsi="Adobe Caslon Pro" w:cs="Arial"/>
          <w:sz w:val="24"/>
          <w:szCs w:val="24"/>
          <w:lang w:eastAsia="es-ES"/>
        </w:rPr>
      </w:pPr>
      <w:r>
        <w:rPr>
          <w:rFonts w:ascii="Adobe Caslon Pro" w:eastAsia="MS Mincho" w:hAnsi="Adobe Caslon Pro" w:cs="Arial"/>
          <w:sz w:val="24"/>
          <w:szCs w:val="24"/>
          <w:lang w:eastAsia="es-ES"/>
        </w:rPr>
        <w:t>Se identificaron 15</w:t>
      </w:r>
      <w:r w:rsidRPr="00532691">
        <w:rPr>
          <w:rFonts w:ascii="Adobe Caslon Pro" w:eastAsia="MS Mincho" w:hAnsi="Adobe Caslon Pro" w:cs="Arial"/>
          <w:sz w:val="24"/>
          <w:szCs w:val="24"/>
          <w:lang w:eastAsia="es-ES"/>
        </w:rPr>
        <w:t xml:space="preserve"> áreas</w:t>
      </w:r>
      <w:r>
        <w:rPr>
          <w:rFonts w:ascii="Adobe Caslon Pro" w:eastAsia="MS Mincho" w:hAnsi="Adobe Caslon Pro" w:cs="Arial"/>
          <w:sz w:val="24"/>
          <w:szCs w:val="24"/>
          <w:lang w:eastAsia="es-ES"/>
        </w:rPr>
        <w:t xml:space="preserve"> </w:t>
      </w:r>
      <w:r>
        <w:rPr>
          <w:rFonts w:ascii="Adobe Caslon Pro" w:eastAsia="MS Mincho" w:hAnsi="Adobe Caslon Pro" w:cs="Arial"/>
          <w:sz w:val="24"/>
          <w:szCs w:val="24"/>
          <w:lang w:eastAsia="es-ES"/>
        </w:rPr>
        <w:t>de oportunidad, de las cuales 4</w:t>
      </w:r>
      <w:r w:rsidRPr="00532691">
        <w:rPr>
          <w:rFonts w:ascii="Adobe Caslon Pro" w:eastAsia="MS Mincho" w:hAnsi="Adobe Caslon Pro" w:cs="Arial"/>
          <w:sz w:val="24"/>
          <w:szCs w:val="24"/>
          <w:lang w:eastAsia="es-ES"/>
        </w:rPr>
        <w:t xml:space="preserve"> están relacionadas con la </w:t>
      </w:r>
      <w:r w:rsidRPr="00532691">
        <w:rPr>
          <w:rFonts w:ascii="Adobe Caslon Pro" w:eastAsia="MS Mincho" w:hAnsi="Adobe Caslon Pro" w:cs="Arial"/>
          <w:i/>
          <w:sz w:val="24"/>
          <w:szCs w:val="24"/>
          <w:lang w:eastAsia="es-ES"/>
        </w:rPr>
        <w:t>solicitud</w:t>
      </w:r>
      <w:r>
        <w:rPr>
          <w:rFonts w:ascii="Adobe Caslon Pro" w:eastAsia="MS Mincho" w:hAnsi="Adobe Caslon Pro" w:cs="Arial"/>
          <w:sz w:val="24"/>
          <w:szCs w:val="24"/>
          <w:lang w:eastAsia="es-ES"/>
        </w:rPr>
        <w:t>, 3</w:t>
      </w:r>
      <w:r w:rsidRPr="00532691">
        <w:rPr>
          <w:rFonts w:ascii="Adobe Caslon Pro" w:eastAsia="MS Mincho" w:hAnsi="Adobe Caslon Pro" w:cs="Arial"/>
          <w:sz w:val="24"/>
          <w:szCs w:val="24"/>
          <w:lang w:eastAsia="es-ES"/>
        </w:rPr>
        <w:t xml:space="preserve"> con la </w:t>
      </w:r>
      <w:r w:rsidRPr="00532691">
        <w:rPr>
          <w:rFonts w:ascii="Adobe Caslon Pro" w:eastAsia="MS Mincho" w:hAnsi="Adobe Caslon Pro" w:cs="Arial"/>
          <w:i/>
          <w:sz w:val="24"/>
          <w:szCs w:val="24"/>
          <w:lang w:eastAsia="es-ES"/>
        </w:rPr>
        <w:t>autorización</w:t>
      </w:r>
      <w:r>
        <w:rPr>
          <w:rFonts w:ascii="Adobe Caslon Pro" w:eastAsia="MS Mincho" w:hAnsi="Adobe Caslon Pro" w:cs="Arial"/>
          <w:sz w:val="24"/>
          <w:szCs w:val="24"/>
          <w:lang w:eastAsia="es-ES"/>
        </w:rPr>
        <w:t>, 6</w:t>
      </w:r>
      <w:r w:rsidRPr="00532691">
        <w:rPr>
          <w:rFonts w:ascii="Adobe Caslon Pro" w:eastAsia="MS Mincho" w:hAnsi="Adobe Caslon Pro" w:cs="Arial"/>
          <w:sz w:val="24"/>
          <w:szCs w:val="24"/>
          <w:lang w:eastAsia="es-ES"/>
        </w:rPr>
        <w:t xml:space="preserve"> con la </w:t>
      </w:r>
      <w:r w:rsidRPr="00532691">
        <w:rPr>
          <w:rFonts w:ascii="Adobe Caslon Pro" w:eastAsia="MS Mincho" w:hAnsi="Adobe Caslon Pro" w:cs="Arial"/>
          <w:i/>
          <w:sz w:val="24"/>
          <w:szCs w:val="24"/>
          <w:lang w:eastAsia="es-ES"/>
        </w:rPr>
        <w:t>comprobación</w:t>
      </w:r>
      <w:r>
        <w:rPr>
          <w:rFonts w:ascii="Adobe Caslon Pro" w:eastAsia="MS Mincho" w:hAnsi="Adobe Caslon Pro" w:cs="Arial"/>
          <w:i/>
          <w:sz w:val="24"/>
          <w:szCs w:val="24"/>
          <w:lang w:eastAsia="es-ES"/>
        </w:rPr>
        <w:t xml:space="preserve"> y 2</w:t>
      </w:r>
      <w:r w:rsidRPr="00532691">
        <w:rPr>
          <w:rFonts w:ascii="Adobe Caslon Pro" w:eastAsia="MS Mincho" w:hAnsi="Adobe Caslon Pro" w:cs="Arial"/>
          <w:i/>
          <w:sz w:val="24"/>
          <w:szCs w:val="24"/>
          <w:lang w:eastAsia="es-ES"/>
        </w:rPr>
        <w:t xml:space="preserve"> </w:t>
      </w:r>
      <w:r w:rsidRPr="00532691">
        <w:rPr>
          <w:rFonts w:ascii="Adobe Caslon Pro" w:hAnsi="Adobe Caslon Pro" w:cs="Arial"/>
          <w:sz w:val="24"/>
          <w:szCs w:val="24"/>
        </w:rPr>
        <w:t xml:space="preserve">con </w:t>
      </w:r>
      <w:r w:rsidRPr="00532691">
        <w:rPr>
          <w:rFonts w:ascii="Adobe Caslon Pro" w:hAnsi="Adobe Caslon Pro" w:cs="Arial"/>
          <w:i/>
          <w:sz w:val="24"/>
          <w:szCs w:val="24"/>
        </w:rPr>
        <w:t>otras áreas de oportunidad</w:t>
      </w:r>
      <w:r w:rsidRPr="00532691">
        <w:rPr>
          <w:rFonts w:ascii="Adobe Caslon Pro" w:eastAsia="MS Mincho" w:hAnsi="Adobe Caslon Pro" w:cs="Arial"/>
          <w:sz w:val="24"/>
          <w:szCs w:val="24"/>
          <w:lang w:eastAsia="es-ES"/>
        </w:rPr>
        <w:t xml:space="preserve">. </w:t>
      </w:r>
    </w:p>
    <w:p w:rsidR="00790947" w:rsidRPr="00532691" w:rsidRDefault="00790947" w:rsidP="00790947">
      <w:pPr>
        <w:spacing w:after="0" w:line="276" w:lineRule="auto"/>
        <w:jc w:val="both"/>
        <w:rPr>
          <w:rFonts w:ascii="Adobe Caslon Pro" w:eastAsia="MS Mincho" w:hAnsi="Adobe Caslon Pro" w:cs="Arial"/>
          <w:sz w:val="24"/>
          <w:szCs w:val="24"/>
          <w:lang w:eastAsia="es-ES"/>
        </w:rPr>
      </w:pPr>
    </w:p>
    <w:tbl>
      <w:tblPr>
        <w:tblW w:w="4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120"/>
      </w:tblGrid>
      <w:tr w:rsidR="00790947" w:rsidRPr="00532691" w:rsidTr="00041FB6">
        <w:trPr>
          <w:trHeight w:val="25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790947" w:rsidRPr="00532691" w:rsidRDefault="00790947" w:rsidP="00041FB6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</w:pPr>
            <w:r w:rsidRPr="00532691"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  <w:t xml:space="preserve">Áreas De Oportunidad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790947" w:rsidRPr="00532691" w:rsidRDefault="00790947" w:rsidP="00041FB6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</w:pPr>
            <w:r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  <w:t>SUR</w:t>
            </w:r>
            <w:r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  <w:t>ESTE</w:t>
            </w:r>
          </w:p>
        </w:tc>
      </w:tr>
      <w:tr w:rsidR="00790947" w:rsidRPr="00532691" w:rsidTr="00041FB6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0947" w:rsidRPr="00532691" w:rsidRDefault="00790947" w:rsidP="00041FB6">
            <w:pPr>
              <w:spacing w:after="0" w:line="240" w:lineRule="auto"/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</w:pPr>
            <w:r w:rsidRPr="00532691"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  <w:t xml:space="preserve">Solicitud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0947" w:rsidRPr="00532691" w:rsidRDefault="00790947" w:rsidP="00041FB6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</w:pPr>
            <w:r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  <w:t>4</w:t>
            </w:r>
          </w:p>
        </w:tc>
      </w:tr>
      <w:tr w:rsidR="00790947" w:rsidRPr="00532691" w:rsidTr="00041FB6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0947" w:rsidRPr="00532691" w:rsidRDefault="00790947" w:rsidP="00041FB6">
            <w:pPr>
              <w:spacing w:after="0" w:line="240" w:lineRule="auto"/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</w:pPr>
            <w:r w:rsidRPr="00532691"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  <w:t xml:space="preserve">Autorización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0947" w:rsidRPr="00532691" w:rsidRDefault="00790947" w:rsidP="00041FB6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</w:pPr>
            <w:r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  <w:t>3</w:t>
            </w:r>
          </w:p>
        </w:tc>
      </w:tr>
      <w:tr w:rsidR="00790947" w:rsidRPr="00532691" w:rsidTr="00041FB6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0947" w:rsidRPr="00532691" w:rsidRDefault="00790947" w:rsidP="00041FB6">
            <w:pPr>
              <w:spacing w:after="0" w:line="240" w:lineRule="auto"/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</w:pPr>
            <w:r w:rsidRPr="00532691"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  <w:t xml:space="preserve">Ministración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0947" w:rsidRPr="00532691" w:rsidRDefault="00790947" w:rsidP="00041FB6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</w:pPr>
            <w:r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  <w:t>0</w:t>
            </w:r>
          </w:p>
        </w:tc>
      </w:tr>
      <w:tr w:rsidR="00790947" w:rsidRPr="00532691" w:rsidTr="00041FB6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0947" w:rsidRPr="00532691" w:rsidRDefault="00790947" w:rsidP="00041FB6">
            <w:pPr>
              <w:spacing w:after="0" w:line="240" w:lineRule="auto"/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</w:pPr>
            <w:r w:rsidRPr="00532691"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  <w:t>Comprobación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0947" w:rsidRPr="00532691" w:rsidRDefault="00790947" w:rsidP="00041FB6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</w:pPr>
            <w:r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  <w:t>6</w:t>
            </w:r>
          </w:p>
        </w:tc>
      </w:tr>
      <w:tr w:rsidR="00790947" w:rsidRPr="00532691" w:rsidTr="00041FB6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947" w:rsidRPr="00532691" w:rsidRDefault="00790947" w:rsidP="00041FB6">
            <w:pPr>
              <w:spacing w:after="0" w:line="240" w:lineRule="auto"/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</w:pPr>
            <w:r w:rsidRPr="00532691"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  <w:t>Otros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947" w:rsidRPr="00532691" w:rsidRDefault="00790947" w:rsidP="00041FB6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</w:pPr>
            <w:r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  <w:t>2</w:t>
            </w:r>
          </w:p>
        </w:tc>
      </w:tr>
      <w:tr w:rsidR="00790947" w:rsidRPr="00532691" w:rsidTr="00041FB6">
        <w:trPr>
          <w:trHeight w:val="73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0947" w:rsidRPr="00532691" w:rsidRDefault="00790947" w:rsidP="00041FB6">
            <w:pPr>
              <w:spacing w:after="0" w:line="240" w:lineRule="auto"/>
              <w:jc w:val="right"/>
              <w:rPr>
                <w:rFonts w:ascii="Adobe Caslon Pro" w:eastAsia="MS Mincho" w:hAnsi="Adobe Caslon Pro" w:cs="Arial"/>
                <w:b/>
                <w:sz w:val="20"/>
                <w:szCs w:val="24"/>
                <w:lang w:val="es-ES_tradnl" w:eastAsia="es-ES"/>
              </w:rPr>
            </w:pPr>
            <w:r w:rsidRPr="00532691">
              <w:rPr>
                <w:rFonts w:ascii="Adobe Caslon Pro" w:eastAsia="MS Mincho" w:hAnsi="Adobe Caslon Pro" w:cs="Arial"/>
                <w:b/>
                <w:sz w:val="20"/>
                <w:szCs w:val="24"/>
                <w:lang w:val="es-ES_tradnl" w:eastAsia="es-ES"/>
              </w:rPr>
              <w:t>TOTAL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0947" w:rsidRPr="00532691" w:rsidRDefault="00790947" w:rsidP="00041FB6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b/>
                <w:sz w:val="20"/>
                <w:szCs w:val="24"/>
                <w:lang w:val="es-ES_tradnl" w:eastAsia="es-ES"/>
              </w:rPr>
            </w:pPr>
            <w:r>
              <w:rPr>
                <w:rFonts w:ascii="Adobe Caslon Pro" w:eastAsia="MS Mincho" w:hAnsi="Adobe Caslon Pro" w:cs="Arial"/>
                <w:b/>
                <w:sz w:val="20"/>
                <w:szCs w:val="24"/>
                <w:lang w:val="es-ES_tradnl" w:eastAsia="es-ES"/>
              </w:rPr>
              <w:t>15</w:t>
            </w:r>
          </w:p>
        </w:tc>
      </w:tr>
    </w:tbl>
    <w:p w:rsidR="00790947" w:rsidRPr="00532691" w:rsidRDefault="00790947" w:rsidP="00790947">
      <w:pPr>
        <w:spacing w:after="0" w:line="276" w:lineRule="auto"/>
        <w:jc w:val="center"/>
        <w:rPr>
          <w:rFonts w:ascii="Adobe Caslon Pro" w:eastAsia="MS Mincho" w:hAnsi="Adobe Caslon Pro" w:cs="Arial"/>
          <w:lang w:val="es-ES_tradnl" w:eastAsia="es-ES"/>
        </w:rPr>
      </w:pPr>
    </w:p>
    <w:p w:rsidR="00790947" w:rsidRPr="00532691" w:rsidRDefault="00790947" w:rsidP="00790947">
      <w:pPr>
        <w:spacing w:line="276" w:lineRule="auto"/>
        <w:jc w:val="both"/>
        <w:rPr>
          <w:rFonts w:ascii="Adobe Caslon Pro" w:hAnsi="Adobe Caslon Pro" w:cs="Arial"/>
          <w:sz w:val="24"/>
          <w:szCs w:val="24"/>
          <w:lang w:val="es-ES_tradnl"/>
        </w:rPr>
      </w:pPr>
      <w:r w:rsidRPr="00532691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>Como se puede apreciar, los rubros que presentan el mayor número de áreas de oportunidad, corresponden a:</w:t>
      </w:r>
      <w:r w:rsidRPr="00532691"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  <w:t xml:space="preserve"> (comprobación) </w:t>
      </w:r>
      <w:r w:rsidR="00887FCA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>con el 40</w:t>
      </w:r>
      <w:r>
        <w:rPr>
          <w:rFonts w:ascii="Adobe Caslon Pro" w:eastAsia="MS Mincho" w:hAnsi="Adobe Caslon Pro" w:cs="Arial"/>
          <w:sz w:val="24"/>
          <w:szCs w:val="24"/>
          <w:lang w:val="es-ES_tradnl" w:eastAsia="es-ES"/>
        </w:rPr>
        <w:t>%</w:t>
      </w:r>
      <w:r w:rsidRPr="00532691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>%,</w:t>
      </w:r>
      <w:r w:rsidRPr="00532691"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  <w:t xml:space="preserve"> </w:t>
      </w:r>
      <w:r w:rsidR="00887FCA" w:rsidRPr="00532691"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  <w:t>(solicitud)</w:t>
      </w:r>
      <w:r w:rsidR="00887FCA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 xml:space="preserve"> con el 27</w:t>
      </w:r>
      <w:r w:rsidR="00887FCA" w:rsidRPr="00532691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>%,</w:t>
      </w:r>
      <w:r w:rsidR="00887FCA" w:rsidRPr="00532691"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  <w:t xml:space="preserve"> </w:t>
      </w:r>
      <w:r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  <w:t xml:space="preserve">(autorización) </w:t>
      </w:r>
      <w:r w:rsidR="00887FCA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>con el 20</w:t>
      </w:r>
      <w:r w:rsidRPr="00532691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>%</w:t>
      </w:r>
      <w:r w:rsidRPr="00532691"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  <w:t xml:space="preserve"> </w:t>
      </w:r>
      <w:r w:rsidR="00887FCA">
        <w:rPr>
          <w:rFonts w:ascii="Adobe Caslon Pro" w:eastAsia="MS Mincho" w:hAnsi="Adobe Caslon Pro" w:cs="Arial"/>
          <w:lang w:eastAsia="es-ES"/>
        </w:rPr>
        <w:t>y</w:t>
      </w:r>
      <w:r w:rsidR="00887FCA" w:rsidRPr="00532691">
        <w:rPr>
          <w:rFonts w:ascii="Adobe Caslon Pro" w:eastAsia="MS Mincho" w:hAnsi="Adobe Caslon Pro" w:cs="Arial"/>
          <w:lang w:eastAsia="es-ES"/>
        </w:rPr>
        <w:t xml:space="preserve"> con el porcentaje mínimo </w:t>
      </w:r>
      <w:r w:rsidRPr="00532691">
        <w:rPr>
          <w:rFonts w:ascii="Adobe Caslon Pro" w:eastAsia="MS Mincho" w:hAnsi="Adobe Caslon Pro" w:cs="Arial"/>
          <w:lang w:eastAsia="es-ES"/>
        </w:rPr>
        <w:t xml:space="preserve">en otras áreas de oportunidad identificadas </w:t>
      </w:r>
      <w:r w:rsidRPr="00532691">
        <w:rPr>
          <w:rFonts w:ascii="Adobe Caslon Pro" w:eastAsia="MS Mincho" w:hAnsi="Adobe Caslon Pro" w:cs="Arial"/>
          <w:b/>
          <w:lang w:eastAsia="es-ES"/>
        </w:rPr>
        <w:t xml:space="preserve">(otros) </w:t>
      </w:r>
      <w:r w:rsidR="00887FCA">
        <w:rPr>
          <w:rFonts w:ascii="Adobe Caslon Pro" w:eastAsia="MS Mincho" w:hAnsi="Adobe Caslon Pro" w:cs="Arial"/>
          <w:lang w:eastAsia="es-ES"/>
        </w:rPr>
        <w:t>con el 13</w:t>
      </w:r>
      <w:r>
        <w:rPr>
          <w:rFonts w:ascii="Adobe Caslon Pro" w:eastAsia="MS Mincho" w:hAnsi="Adobe Caslon Pro" w:cs="Arial"/>
          <w:lang w:eastAsia="es-ES"/>
        </w:rPr>
        <w:t xml:space="preserve">%, </w:t>
      </w:r>
      <w:r w:rsidRPr="00532691">
        <w:rPr>
          <w:rFonts w:ascii="Adobe Caslon Pro" w:eastAsia="MS Mincho" w:hAnsi="Adobe Caslon Pro" w:cs="Arial"/>
          <w:lang w:eastAsia="es-ES"/>
        </w:rPr>
        <w:t>del total respectivamente.</w:t>
      </w:r>
      <w:r w:rsidRPr="00FF5F75"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  <w:t xml:space="preserve"> </w:t>
      </w:r>
    </w:p>
    <w:p w:rsidR="00790947" w:rsidRPr="00532691" w:rsidRDefault="00790947" w:rsidP="00790947">
      <w:pPr>
        <w:spacing w:after="0" w:line="276" w:lineRule="auto"/>
        <w:jc w:val="both"/>
        <w:rPr>
          <w:rFonts w:ascii="Adobe Caslon Pro" w:eastAsia="MS Mincho" w:hAnsi="Adobe Caslon Pro" w:cs="Arial"/>
          <w:sz w:val="24"/>
          <w:szCs w:val="24"/>
          <w:lang w:val="es-ES_tradnl" w:eastAsia="es-ES"/>
        </w:rPr>
      </w:pPr>
      <w:r w:rsidRPr="00532691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>A continuación, se hace una referencia de las áreas de oportunidad en las que existe mayor recurrencia:</w:t>
      </w:r>
    </w:p>
    <w:p w:rsidR="00790947" w:rsidRPr="00532691" w:rsidRDefault="00790947" w:rsidP="00790947">
      <w:pPr>
        <w:spacing w:after="0" w:line="276" w:lineRule="auto"/>
        <w:rPr>
          <w:rFonts w:ascii="Adobe Caslon Pro" w:eastAsia="MS Mincho" w:hAnsi="Adobe Caslon Pro" w:cs="Arial"/>
          <w:sz w:val="20"/>
          <w:szCs w:val="24"/>
          <w:lang w:val="es-ES_tradnl" w:eastAsia="es-ES"/>
        </w:rPr>
      </w:pPr>
    </w:p>
    <w:p w:rsidR="00790947" w:rsidRPr="00532691" w:rsidRDefault="00790947" w:rsidP="00790947">
      <w:pPr>
        <w:spacing w:after="0" w:line="276" w:lineRule="auto"/>
        <w:jc w:val="center"/>
        <w:rPr>
          <w:rFonts w:ascii="Adobe Caslon Pro" w:eastAsia="MS Mincho" w:hAnsi="Adobe Caslon Pro" w:cs="Arial"/>
          <w:sz w:val="20"/>
          <w:szCs w:val="24"/>
          <w:lang w:val="es-ES_tradnl" w:eastAsia="es-ES"/>
        </w:rPr>
      </w:pPr>
      <w:r>
        <w:rPr>
          <w:rFonts w:ascii="Adobe Caslon Pro" w:eastAsia="MS Mincho" w:hAnsi="Adobe Caslon Pro" w:cs="Arial"/>
          <w:sz w:val="20"/>
          <w:szCs w:val="24"/>
          <w:lang w:val="es-ES_tradnl" w:eastAsia="es-ES"/>
        </w:rPr>
        <w:t>Á</w:t>
      </w:r>
      <w:r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>REAS DE OPORTUNIDAD</w:t>
      </w:r>
    </w:p>
    <w:p w:rsidR="00790947" w:rsidRPr="00532691" w:rsidRDefault="00790947" w:rsidP="00790947">
      <w:pPr>
        <w:spacing w:after="0" w:line="276" w:lineRule="auto"/>
        <w:jc w:val="center"/>
        <w:rPr>
          <w:rFonts w:ascii="Adobe Caslon Pro" w:eastAsia="MS Mincho" w:hAnsi="Adobe Caslon Pro" w:cs="Arial"/>
          <w:b/>
          <w:szCs w:val="24"/>
          <w:lang w:val="es-ES_tradnl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5948"/>
        <w:gridCol w:w="6"/>
      </w:tblGrid>
      <w:tr w:rsidR="00790947" w:rsidRPr="00532691" w:rsidTr="00887FCA">
        <w:trPr>
          <w:gridAfter w:val="1"/>
          <w:wAfter w:w="6" w:type="dxa"/>
          <w:trHeight w:val="515"/>
        </w:trPr>
        <w:tc>
          <w:tcPr>
            <w:tcW w:w="4106" w:type="dxa"/>
            <w:hideMark/>
          </w:tcPr>
          <w:p w:rsidR="00790947" w:rsidRPr="00532691" w:rsidRDefault="00790947" w:rsidP="00041FB6">
            <w:pPr>
              <w:spacing w:line="276" w:lineRule="auto"/>
              <w:jc w:val="center"/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</w:pPr>
            <w:r w:rsidRPr="001B64E4">
              <w:rPr>
                <w:rFonts w:ascii="Adobe Caslon Pro" w:hAnsi="Adobe Caslon Pro" w:cs="Arial"/>
                <w:szCs w:val="18"/>
                <w:lang w:val="es-ES_tradnl" w:eastAsia="es-ES"/>
              </w:rPr>
              <w:t>Documento revisado</w:t>
            </w:r>
          </w:p>
        </w:tc>
        <w:tc>
          <w:tcPr>
            <w:tcW w:w="5948" w:type="dxa"/>
            <w:hideMark/>
          </w:tcPr>
          <w:p w:rsidR="00790947" w:rsidRPr="00532691" w:rsidRDefault="00790947" w:rsidP="00041FB6">
            <w:pPr>
              <w:spacing w:line="276" w:lineRule="auto"/>
              <w:jc w:val="center"/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</w:pPr>
            <w:r w:rsidRPr="00532691">
              <w:rPr>
                <w:rFonts w:ascii="Adobe Caslon Pro" w:hAnsi="Adobe Caslon Pro" w:cs="Arial"/>
                <w:sz w:val="24"/>
                <w:szCs w:val="24"/>
                <w:lang w:val="es-ES_tradnl" w:eastAsia="es-ES"/>
              </w:rPr>
              <w:t>Acciones</w:t>
            </w:r>
          </w:p>
        </w:tc>
      </w:tr>
      <w:tr w:rsidR="00887FCA" w:rsidRPr="00532691" w:rsidTr="00887FCA">
        <w:tc>
          <w:tcPr>
            <w:tcW w:w="4106" w:type="dxa"/>
            <w:hideMark/>
          </w:tcPr>
          <w:p w:rsidR="00887FCA" w:rsidRPr="00887FCA" w:rsidRDefault="00887FCA" w:rsidP="00887FCA">
            <w:pPr>
              <w:jc w:val="both"/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</w:pPr>
            <w:r w:rsidRPr="00887FCA"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  <w:t>Documento jurídico que acredite la propiedad o la posesión del predio donde instalará el proyecto.</w:t>
            </w:r>
          </w:p>
        </w:tc>
        <w:tc>
          <w:tcPr>
            <w:tcW w:w="5954" w:type="dxa"/>
            <w:gridSpan w:val="2"/>
          </w:tcPr>
          <w:p w:rsidR="00887FCA" w:rsidRPr="00887FCA" w:rsidRDefault="00887FCA" w:rsidP="00887FCA">
            <w:pPr>
              <w:jc w:val="both"/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</w:pPr>
            <w:r w:rsidRPr="00887FCA"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  <w:t xml:space="preserve">Se registró en la solicitud 20-47-96 HAS </w:t>
            </w:r>
            <w:r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  <w:t>las cuales se acreditaron</w:t>
            </w:r>
            <w:r w:rsidRPr="00887FCA"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  <w:t xml:space="preserve"> con un solo documento a nombre del beneficiario. Sin embargo se detectaron otros </w:t>
            </w:r>
            <w:r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  <w:t xml:space="preserve">documentos en los </w:t>
            </w:r>
            <w:r w:rsidRPr="00887FCA"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  <w:t xml:space="preserve">que el nombre del beneficiario es incorrecto, </w:t>
            </w:r>
            <w:r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  <w:t xml:space="preserve">Dice </w:t>
            </w:r>
            <w:proofErr w:type="spellStart"/>
            <w:r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  <w:t>Iturbides</w:t>
            </w:r>
            <w:proofErr w:type="spellEnd"/>
            <w:r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  <w:t xml:space="preserve"> Cal y</w:t>
            </w:r>
            <w:r w:rsidRPr="00887FCA"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  <w:t xml:space="preserve"> Mayor Espinosa, cuando es </w:t>
            </w:r>
            <w:proofErr w:type="spellStart"/>
            <w:r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  <w:t>Iturbidez</w:t>
            </w:r>
            <w:proofErr w:type="spellEnd"/>
            <w:r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  <w:t xml:space="preserve"> Cal y</w:t>
            </w:r>
            <w:r w:rsidRPr="00887FCA"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  <w:t xml:space="preserve"> Mayor Espinoza.</w:t>
            </w:r>
          </w:p>
        </w:tc>
      </w:tr>
      <w:tr w:rsidR="00887FCA" w:rsidRPr="00532691" w:rsidTr="00887FCA">
        <w:tc>
          <w:tcPr>
            <w:tcW w:w="4106" w:type="dxa"/>
            <w:hideMark/>
          </w:tcPr>
          <w:p w:rsidR="00887FCA" w:rsidRPr="00887FCA" w:rsidRDefault="00887FCA" w:rsidP="00887FCA">
            <w:pPr>
              <w:jc w:val="both"/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</w:pPr>
            <w:r w:rsidRPr="00887FCA"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  <w:t xml:space="preserve">Proyecto de </w:t>
            </w:r>
            <w:r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  <w:t>I</w:t>
            </w:r>
            <w:r w:rsidRPr="00887FCA"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  <w:t>nversión.</w:t>
            </w:r>
          </w:p>
        </w:tc>
        <w:tc>
          <w:tcPr>
            <w:tcW w:w="5954" w:type="dxa"/>
            <w:gridSpan w:val="2"/>
            <w:hideMark/>
          </w:tcPr>
          <w:p w:rsidR="00887FCA" w:rsidRPr="00887FCA" w:rsidRDefault="00887FCA" w:rsidP="00887FCA">
            <w:pPr>
              <w:jc w:val="both"/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</w:pPr>
            <w:r w:rsidRPr="00887FCA"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  <w:t>El documento que se encontró en el expediente, no corresponde al beneficiario del apoyo.</w:t>
            </w:r>
          </w:p>
        </w:tc>
      </w:tr>
      <w:tr w:rsidR="00887FCA" w:rsidRPr="00532691" w:rsidTr="00887FCA">
        <w:tc>
          <w:tcPr>
            <w:tcW w:w="4106" w:type="dxa"/>
            <w:hideMark/>
          </w:tcPr>
          <w:p w:rsidR="00887FCA" w:rsidRPr="00887FCA" w:rsidRDefault="00887FCA" w:rsidP="00887FCA">
            <w:pPr>
              <w:jc w:val="both"/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</w:pPr>
            <w:r w:rsidRPr="00887FCA"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  <w:t>Recibo o factura original del beneficiario que ampare el monto del incentivo y que cumple con los requisitos fiscales.</w:t>
            </w:r>
          </w:p>
        </w:tc>
        <w:tc>
          <w:tcPr>
            <w:tcW w:w="5954" w:type="dxa"/>
            <w:gridSpan w:val="2"/>
            <w:hideMark/>
          </w:tcPr>
          <w:p w:rsidR="00887FCA" w:rsidRPr="00887FCA" w:rsidRDefault="00887FCA" w:rsidP="00887FCA">
            <w:pPr>
              <w:jc w:val="both"/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</w:pPr>
            <w:r w:rsidRPr="00887FCA"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  <w:t>Se encontró en el expediente recibo simple por la 1ra y 2da ministración, de acuerdo al artículo 50 (II. F), se requiere recibo que cumpla con requisitos fiscales</w:t>
            </w:r>
          </w:p>
        </w:tc>
      </w:tr>
      <w:tr w:rsidR="00887FCA" w:rsidRPr="00532691" w:rsidTr="00887FCA">
        <w:tc>
          <w:tcPr>
            <w:tcW w:w="4106" w:type="dxa"/>
            <w:hideMark/>
          </w:tcPr>
          <w:p w:rsidR="00887FCA" w:rsidRPr="00887FCA" w:rsidRDefault="00887FCA" w:rsidP="00887FCA">
            <w:pPr>
              <w:jc w:val="both"/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</w:pPr>
            <w:r w:rsidRPr="00887FCA"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  <w:t>Informe final detallado (sobre los resultados y alcances obtenidos en la ejecución de las acciones materia del convenio y del ejercicio de los recursos otorgados.</w:t>
            </w:r>
          </w:p>
        </w:tc>
        <w:tc>
          <w:tcPr>
            <w:tcW w:w="5954" w:type="dxa"/>
            <w:gridSpan w:val="2"/>
            <w:hideMark/>
          </w:tcPr>
          <w:p w:rsidR="00887FCA" w:rsidRPr="00887FCA" w:rsidRDefault="00887FCA" w:rsidP="00887FCA">
            <w:pPr>
              <w:jc w:val="both"/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</w:pPr>
            <w:r w:rsidRPr="00887FCA"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  <w:t>La fecha del informe es posterior a los días establecidos para el término del proyecto como está establecido en el convenio</w:t>
            </w:r>
          </w:p>
        </w:tc>
      </w:tr>
    </w:tbl>
    <w:p w:rsidR="00790947" w:rsidRPr="00532691" w:rsidRDefault="00790947" w:rsidP="00790947">
      <w:pPr>
        <w:spacing w:after="0" w:line="240" w:lineRule="auto"/>
        <w:jc w:val="both"/>
        <w:rPr>
          <w:rFonts w:ascii="Adobe Caslon Pro" w:eastAsia="MS Mincho" w:hAnsi="Adobe Caslon Pro" w:cs="Arial"/>
          <w:sz w:val="10"/>
          <w:szCs w:val="10"/>
          <w:lang w:val="es-ES_tradnl" w:eastAsia="es-ES"/>
        </w:rPr>
      </w:pPr>
    </w:p>
    <w:p w:rsidR="00790947" w:rsidRPr="00532691" w:rsidRDefault="00790947" w:rsidP="00790947">
      <w:pPr>
        <w:spacing w:after="0" w:line="276" w:lineRule="auto"/>
        <w:jc w:val="center"/>
        <w:rPr>
          <w:rFonts w:ascii="Adobe Caslon Pro" w:eastAsia="MS Mincho" w:hAnsi="Adobe Caslon Pro" w:cs="Arial"/>
          <w:b/>
          <w:lang w:val="es-ES_tradnl" w:eastAsia="es-ES"/>
        </w:rPr>
      </w:pPr>
    </w:p>
    <w:p w:rsidR="00790947" w:rsidRPr="00532691" w:rsidRDefault="00790947" w:rsidP="00790947">
      <w:pPr>
        <w:spacing w:after="0" w:line="276" w:lineRule="auto"/>
        <w:jc w:val="both"/>
        <w:rPr>
          <w:rFonts w:ascii="Adobe Caslon Pro" w:eastAsia="MS Mincho" w:hAnsi="Adobe Caslon Pro" w:cs="Arial"/>
          <w:sz w:val="20"/>
          <w:szCs w:val="24"/>
          <w:lang w:val="es-ES_tradnl" w:eastAsia="es-ES"/>
        </w:rPr>
      </w:pPr>
    </w:p>
    <w:p w:rsidR="00790947" w:rsidRPr="00532691" w:rsidRDefault="00790947" w:rsidP="00790947">
      <w:pPr>
        <w:spacing w:before="240" w:line="360" w:lineRule="auto"/>
        <w:jc w:val="both"/>
        <w:rPr>
          <w:rFonts w:ascii="Adobe Caslon Pro" w:eastAsia="MS Mincho" w:hAnsi="Adobe Caslon Pro" w:cs="Arial"/>
          <w:sz w:val="20"/>
          <w:szCs w:val="24"/>
          <w:lang w:val="es-ES_tradnl" w:eastAsia="es-ES"/>
        </w:rPr>
      </w:pPr>
      <w:r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>El estatus de las áreas de oportunidad, se dan a conocer conforme a</w:t>
      </w:r>
      <w:bookmarkStart w:id="0" w:name="_GoBack"/>
      <w:bookmarkEnd w:id="0"/>
      <w:r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 xml:space="preserve"> lo dispuesto en los numerales </w:t>
      </w:r>
      <w:r w:rsidRPr="00532691">
        <w:rPr>
          <w:rFonts w:ascii="Adobe Caslon Pro" w:eastAsia="MS Mincho" w:hAnsi="Adobe Caslon Pro" w:cs="Arial"/>
          <w:b/>
          <w:sz w:val="20"/>
          <w:szCs w:val="24"/>
          <w:lang w:val="es-ES_tradnl" w:eastAsia="es-ES"/>
        </w:rPr>
        <w:t xml:space="preserve">5.4, 5.7 y 5.11 </w:t>
      </w:r>
      <w:r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 xml:space="preserve">del apartado </w:t>
      </w:r>
      <w:r w:rsidRPr="00532691">
        <w:rPr>
          <w:rFonts w:ascii="Adobe Caslon Pro" w:eastAsia="MS Mincho" w:hAnsi="Adobe Caslon Pro" w:cs="Arial"/>
          <w:b/>
          <w:sz w:val="20"/>
          <w:szCs w:val="24"/>
          <w:lang w:val="es-ES_tradnl" w:eastAsia="es-ES"/>
        </w:rPr>
        <w:t xml:space="preserve">5. Políticas; 6.7, 6.13, 6.18, y 6.23 </w:t>
      </w:r>
      <w:r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 xml:space="preserve">del apartado </w:t>
      </w:r>
      <w:r w:rsidRPr="00532691">
        <w:rPr>
          <w:rFonts w:ascii="Adobe Caslon Pro" w:eastAsia="MS Mincho" w:hAnsi="Adobe Caslon Pro" w:cs="Arial"/>
          <w:b/>
          <w:sz w:val="20"/>
          <w:szCs w:val="24"/>
          <w:lang w:val="es-ES_tradnl" w:eastAsia="es-ES"/>
        </w:rPr>
        <w:t>6. Responsabilidades</w:t>
      </w:r>
      <w:r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 xml:space="preserve"> del Manual de Políticas y Procedimientos para el Seguimiento Normativo y la Revisión de Expedientes, de los Programas Operados por la Dirección General Adjunta de Promoción de Negocios y Coordinación Regional; inciso </w:t>
      </w:r>
      <w:r w:rsidRPr="00532691">
        <w:rPr>
          <w:rFonts w:ascii="Adobe Caslon Pro" w:eastAsia="MS Mincho" w:hAnsi="Adobe Caslon Pro" w:cs="Arial"/>
          <w:b/>
          <w:sz w:val="20"/>
          <w:szCs w:val="24"/>
          <w:lang w:val="es-ES_tradnl" w:eastAsia="es-ES"/>
        </w:rPr>
        <w:t>j)</w:t>
      </w:r>
      <w:r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 xml:space="preserve"> numeral </w:t>
      </w:r>
      <w:r w:rsidRPr="00532691">
        <w:rPr>
          <w:rFonts w:ascii="Adobe Caslon Pro" w:eastAsia="MS Mincho" w:hAnsi="Adobe Caslon Pro" w:cs="Arial"/>
          <w:b/>
          <w:sz w:val="20"/>
          <w:szCs w:val="24"/>
          <w:lang w:val="es-ES_tradnl" w:eastAsia="es-ES"/>
        </w:rPr>
        <w:t>4</w:t>
      </w:r>
      <w:r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 xml:space="preserve"> del apartado </w:t>
      </w:r>
      <w:r w:rsidRPr="00532691">
        <w:rPr>
          <w:rFonts w:ascii="Adobe Caslon Pro" w:eastAsia="MS Mincho" w:hAnsi="Adobe Caslon Pro" w:cs="Arial"/>
          <w:b/>
          <w:sz w:val="20"/>
          <w:szCs w:val="24"/>
          <w:lang w:val="es-ES_tradnl" w:eastAsia="es-ES"/>
        </w:rPr>
        <w:t>6. Responsabilidades</w:t>
      </w:r>
      <w:r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>, del Manual de Procedimientos de Operación de los componentes de Mezcla de Recursos, a fin de que cuente con elementos que le permitan dar seguimiento a las áreas de oportunidad determinadas, o en su caso, determinar las acciones que se consideren procedentes.</w:t>
      </w:r>
    </w:p>
    <w:p w:rsidR="00790947" w:rsidRDefault="00790947" w:rsidP="00790947"/>
    <w:p w:rsidR="00790947" w:rsidRDefault="00790947" w:rsidP="00790947"/>
    <w:p w:rsidR="00790947" w:rsidRDefault="00790947" w:rsidP="00790947"/>
    <w:sectPr w:rsidR="00790947" w:rsidSect="008D221F">
      <w:headerReference w:type="default" r:id="rId5"/>
      <w:footerReference w:type="even" r:id="rId6"/>
      <w:footerReference w:type="default" r:id="rId7"/>
      <w:pgSz w:w="12240" w:h="15840"/>
      <w:pgMar w:top="2552" w:right="758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dobe Caslon Pro">
    <w:altName w:val="Georgia"/>
    <w:charset w:val="00"/>
    <w:family w:val="roman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92E" w:rsidRDefault="00887FCA" w:rsidP="003C7F9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1392E" w:rsidRDefault="00887FCA" w:rsidP="0001392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92E" w:rsidRPr="0001392E" w:rsidRDefault="00887FCA" w:rsidP="003C7F95">
    <w:pPr>
      <w:pStyle w:val="Piedepgina"/>
      <w:framePr w:wrap="around" w:vAnchor="text" w:hAnchor="margin" w:xAlign="right" w:y="1"/>
      <w:rPr>
        <w:rStyle w:val="Nmerodepgina"/>
        <w:sz w:val="16"/>
        <w:szCs w:val="16"/>
      </w:rPr>
    </w:pPr>
    <w:r w:rsidRPr="0001392E">
      <w:rPr>
        <w:rStyle w:val="Nmerodepgina"/>
        <w:sz w:val="16"/>
        <w:szCs w:val="16"/>
      </w:rPr>
      <w:fldChar w:fldCharType="begin"/>
    </w:r>
    <w:r w:rsidRPr="0001392E">
      <w:rPr>
        <w:rStyle w:val="Nmerodepgina"/>
        <w:sz w:val="16"/>
        <w:szCs w:val="16"/>
      </w:rPr>
      <w:instrText xml:space="preserve">PAGE  </w:instrText>
    </w:r>
    <w:r w:rsidRPr="0001392E">
      <w:rPr>
        <w:rStyle w:val="Nmerodepgina"/>
        <w:sz w:val="16"/>
        <w:szCs w:val="16"/>
      </w:rPr>
      <w:fldChar w:fldCharType="separate"/>
    </w:r>
    <w:r>
      <w:rPr>
        <w:rStyle w:val="Nmerodepgina"/>
        <w:noProof/>
        <w:sz w:val="16"/>
        <w:szCs w:val="16"/>
      </w:rPr>
      <w:t>2</w:t>
    </w:r>
    <w:r w:rsidRPr="0001392E">
      <w:rPr>
        <w:rStyle w:val="Nmerodepgina"/>
        <w:sz w:val="16"/>
        <w:szCs w:val="16"/>
      </w:rPr>
      <w:fldChar w:fldCharType="end"/>
    </w:r>
  </w:p>
  <w:p w:rsidR="0001392E" w:rsidRDefault="00887FCA" w:rsidP="0001392E">
    <w:pPr>
      <w:pStyle w:val="Piedepgina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56" w:rsidRDefault="00887FC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DC0B7A6" wp14:editId="255225A3">
          <wp:simplePos x="0" y="0"/>
          <wp:positionH relativeFrom="page">
            <wp:align>right</wp:align>
          </wp:positionH>
          <wp:positionV relativeFrom="paragraph">
            <wp:posOffset>-432591</wp:posOffset>
          </wp:positionV>
          <wp:extent cx="7774656" cy="1012541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_CORPORATIV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656" cy="10125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61092"/>
    <w:multiLevelType w:val="hybridMultilevel"/>
    <w:tmpl w:val="F020C3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47"/>
    <w:rsid w:val="002A59A9"/>
    <w:rsid w:val="006118D8"/>
    <w:rsid w:val="00790947"/>
    <w:rsid w:val="0088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7535A"/>
  <w15:chartTrackingRefBased/>
  <w15:docId w15:val="{8E2FAC54-B731-41CB-A11A-065F2774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9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909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90947"/>
  </w:style>
  <w:style w:type="paragraph" w:styleId="Piedepgina">
    <w:name w:val="footer"/>
    <w:basedOn w:val="Normal"/>
    <w:link w:val="PiedepginaCar"/>
    <w:uiPriority w:val="99"/>
    <w:semiHidden/>
    <w:unhideWhenUsed/>
    <w:rsid w:val="007909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90947"/>
  </w:style>
  <w:style w:type="table" w:styleId="Tablaconcuadrcula">
    <w:name w:val="Table Grid"/>
    <w:basedOn w:val="Tablanormal"/>
    <w:rsid w:val="00790947"/>
    <w:pPr>
      <w:spacing w:after="0" w:line="240" w:lineRule="auto"/>
    </w:pPr>
    <w:rPr>
      <w:rFonts w:ascii="Cambria" w:eastAsia="MS Mincho" w:hAnsi="Cambria" w:cs="Times New Roman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790947"/>
  </w:style>
  <w:style w:type="paragraph" w:styleId="Prrafodelista">
    <w:name w:val="List Paragraph"/>
    <w:basedOn w:val="Normal"/>
    <w:uiPriority w:val="34"/>
    <w:qFormat/>
    <w:rsid w:val="00790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660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Itzayana Soriano Hernández</dc:creator>
  <cp:keywords/>
  <dc:description/>
  <cp:lastModifiedBy>karen Itzayana Soriano Hernández</cp:lastModifiedBy>
  <cp:revision>2</cp:revision>
  <dcterms:created xsi:type="dcterms:W3CDTF">2018-09-10T19:22:00Z</dcterms:created>
  <dcterms:modified xsi:type="dcterms:W3CDTF">2018-09-10T19:34:00Z</dcterms:modified>
</cp:coreProperties>
</file>