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E3" w:rsidRPr="00532691" w:rsidRDefault="00335CE3" w:rsidP="00335CE3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Gerencia de Seguimiento Normativo de los Programas de Apoyo</w:t>
      </w:r>
    </w:p>
    <w:p w:rsidR="00335CE3" w:rsidRPr="00532691" w:rsidRDefault="00335CE3" w:rsidP="00335CE3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Resumen Ejecutivo de Expedientes Revisados de los Programas Externos.</w:t>
      </w:r>
    </w:p>
    <w:p w:rsidR="00335CE3" w:rsidRPr="00532691" w:rsidRDefault="00335CE3" w:rsidP="00335CE3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Coordinación Regional </w:t>
      </w:r>
      <w:r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Sur</w:t>
      </w:r>
    </w:p>
    <w:p w:rsidR="00335CE3" w:rsidRPr="00532691" w:rsidRDefault="00335CE3" w:rsidP="00335CE3">
      <w:pPr>
        <w:spacing w:after="0" w:line="276" w:lineRule="auto"/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</w:pP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Derivado de las funciones encomendadas a la GSNPA, de revisar los expedientes de las solicitudes de apoyo que hubieran recibido recursos correspondientes a los Programas de Apoyo, Internos y Externos, a cargo de la Dirección General Adjunta de Promoción de Negocios y Coordinación Regional; para realizar un análisis y evaluación de los procesos establecidos por la normatividad que los rige; y asimismo coordinar la elaboración de las acciones de mejora que fortalezcan el control interno de los procesos de entrega, supervisión y comprobación de los recursos de los Programas antes mencionados.</w:t>
      </w: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Conforme al Programa de Trabajo de 2018, para revisar los expedientes correspondientes al ejercicio 2017 y con el objeto de incrementar la eficiencia y eficacia en su gestión, dando certeza del cumplimiento a la normativa aplicable vigente a los programas internos y externos; se llevó a cabo la evaluación de los controles internos de los procesos de operación para el otorgamiento de los apoyos internos y externos.</w:t>
      </w: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highlight w:val="yellow"/>
          <w:lang w:val="es-ES_tradnl" w:eastAsia="es-ES"/>
        </w:rPr>
        <w:t>OFICIO</w:t>
      </w: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</w:t>
      </w: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 los 1,109 expedientes integrados por concepto de los Programas Externos que fueron ejecutados en las 80 agencias, correspondientes al ejercicio de 2017, se seleccionaron 38 expedientes; para su revisión, con la herramienta de “Muestra estadística y aleatoria”, el cual nos da un nivel de confianza del 90%, una Probabilidad de error del 4% y Precisión del 5%; operados en el ejercicio 2017.</w:t>
      </w: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De la revisión de 14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expedientes integrados por los apoyos otorgados mediante el programa de:</w:t>
      </w:r>
    </w:p>
    <w:p w:rsidR="00335CE3" w:rsidRDefault="00335CE3" w:rsidP="00335CE3">
      <w:pPr>
        <w:pStyle w:val="Prrafodelista"/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335CE3" w:rsidRPr="00D70614" w:rsidRDefault="00335CE3" w:rsidP="00335CE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dobe Caslon Pro" w:hAnsi="Adobe Caslon Pro" w:cs="Arial"/>
        </w:rPr>
      </w:pPr>
      <w:r w:rsidRPr="00423494">
        <w:rPr>
          <w:rFonts w:ascii="Adobe Caslon Pro" w:hAnsi="Adobe Caslon Pro" w:cs="Arial"/>
        </w:rPr>
        <w:t xml:space="preserve">Programa de </w:t>
      </w:r>
      <w:r>
        <w:rPr>
          <w:rFonts w:ascii="Adobe Caslon Pro" w:hAnsi="Adobe Caslon Pro" w:cs="Arial"/>
        </w:rPr>
        <w:t>Productividad y Competitividad Agroalimentaria.</w:t>
      </w: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eastAsia="es-ES"/>
        </w:rPr>
      </w:pPr>
      <w:r>
        <w:rPr>
          <w:rFonts w:ascii="Adobe Caslon Pro" w:eastAsia="MS Mincho" w:hAnsi="Adobe Caslon Pro" w:cs="Arial"/>
          <w:sz w:val="24"/>
          <w:szCs w:val="24"/>
          <w:lang w:eastAsia="es-ES"/>
        </w:rPr>
        <w:t>Se identificaron 122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áreas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>de oportunidad, de las cuales 11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están relacionadas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solicitud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>, 22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autorización</w:t>
      </w:r>
      <w:r>
        <w:rPr>
          <w:rFonts w:ascii="Adobe Caslon Pro" w:eastAsia="MS Mincho" w:hAnsi="Adobe Caslon Pro" w:cs="Arial"/>
          <w:sz w:val="24"/>
          <w:szCs w:val="24"/>
          <w:lang w:eastAsia="es-ES"/>
        </w:rPr>
        <w:t>, 4 con la ministración, 65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 con la 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>comprobación</w:t>
      </w:r>
      <w:r>
        <w:rPr>
          <w:rFonts w:ascii="Adobe Caslon Pro" w:eastAsia="MS Mincho" w:hAnsi="Adobe Caslon Pro" w:cs="Arial"/>
          <w:i/>
          <w:sz w:val="24"/>
          <w:szCs w:val="24"/>
          <w:lang w:eastAsia="es-ES"/>
        </w:rPr>
        <w:t xml:space="preserve"> y 2</w:t>
      </w:r>
      <w:r>
        <w:rPr>
          <w:rFonts w:ascii="Adobe Caslon Pro" w:eastAsia="MS Mincho" w:hAnsi="Adobe Caslon Pro" w:cs="Arial"/>
          <w:i/>
          <w:sz w:val="24"/>
          <w:szCs w:val="24"/>
          <w:lang w:eastAsia="es-ES"/>
        </w:rPr>
        <w:t>0</w:t>
      </w:r>
      <w:r w:rsidRPr="00532691">
        <w:rPr>
          <w:rFonts w:ascii="Adobe Caslon Pro" w:eastAsia="MS Mincho" w:hAnsi="Adobe Caslon Pro" w:cs="Arial"/>
          <w:i/>
          <w:sz w:val="24"/>
          <w:szCs w:val="24"/>
          <w:lang w:eastAsia="es-ES"/>
        </w:rPr>
        <w:t xml:space="preserve"> </w:t>
      </w:r>
      <w:r w:rsidRPr="00532691">
        <w:rPr>
          <w:rFonts w:ascii="Adobe Caslon Pro" w:hAnsi="Adobe Caslon Pro" w:cs="Arial"/>
          <w:sz w:val="24"/>
          <w:szCs w:val="24"/>
        </w:rPr>
        <w:t xml:space="preserve">con </w:t>
      </w:r>
      <w:r w:rsidRPr="00532691">
        <w:rPr>
          <w:rFonts w:ascii="Adobe Caslon Pro" w:hAnsi="Adobe Caslon Pro" w:cs="Arial"/>
          <w:i/>
          <w:sz w:val="24"/>
          <w:szCs w:val="24"/>
        </w:rPr>
        <w:t>otras áreas de oportunidad</w:t>
      </w:r>
      <w:r w:rsidRPr="00532691">
        <w:rPr>
          <w:rFonts w:ascii="Adobe Caslon Pro" w:eastAsia="MS Mincho" w:hAnsi="Adobe Caslon Pro" w:cs="Arial"/>
          <w:sz w:val="24"/>
          <w:szCs w:val="24"/>
          <w:lang w:eastAsia="es-ES"/>
        </w:rPr>
        <w:t xml:space="preserve">. </w:t>
      </w:r>
    </w:p>
    <w:tbl>
      <w:tblPr>
        <w:tblW w:w="4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20"/>
      </w:tblGrid>
      <w:tr w:rsidR="00335CE3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Áreas De Oportunidad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SUR</w:t>
            </w:r>
          </w:p>
        </w:tc>
      </w:tr>
      <w:tr w:rsidR="00335CE3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Solicitud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11</w:t>
            </w:r>
          </w:p>
        </w:tc>
      </w:tr>
      <w:tr w:rsidR="00335CE3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Autorización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22</w:t>
            </w:r>
          </w:p>
        </w:tc>
      </w:tr>
      <w:tr w:rsidR="00335CE3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 xml:space="preserve">Ministración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4</w:t>
            </w:r>
          </w:p>
        </w:tc>
      </w:tr>
      <w:tr w:rsidR="00335CE3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Comprobación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65</w:t>
            </w:r>
          </w:p>
        </w:tc>
      </w:tr>
      <w:tr w:rsidR="00335CE3" w:rsidRPr="00532691" w:rsidTr="00041FB6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5CE3" w:rsidRPr="00532691" w:rsidRDefault="00335CE3" w:rsidP="00041FB6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Otros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5CE3" w:rsidRPr="00532691" w:rsidRDefault="00335CE3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sz w:val="20"/>
                <w:szCs w:val="24"/>
                <w:lang w:val="es-ES_tradnl" w:eastAsia="es-ES"/>
              </w:rPr>
              <w:t>20</w:t>
            </w:r>
          </w:p>
        </w:tc>
      </w:tr>
      <w:tr w:rsidR="00335CE3" w:rsidRPr="00532691" w:rsidTr="00041FB6">
        <w:trPr>
          <w:trHeight w:val="7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jc w:val="right"/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</w:pPr>
            <w:r w:rsidRPr="00532691"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E3" w:rsidRPr="00532691" w:rsidRDefault="00335CE3" w:rsidP="00041FB6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eastAsia="MS Mincho" w:hAnsi="Adobe Caslon Pro" w:cs="Arial"/>
                <w:b/>
                <w:sz w:val="20"/>
                <w:szCs w:val="24"/>
                <w:lang w:val="es-ES_tradnl" w:eastAsia="es-ES"/>
              </w:rPr>
              <w:t>122</w:t>
            </w:r>
          </w:p>
        </w:tc>
      </w:tr>
    </w:tbl>
    <w:p w:rsidR="00335CE3" w:rsidRPr="00532691" w:rsidRDefault="00335CE3" w:rsidP="00335CE3">
      <w:pPr>
        <w:spacing w:after="0" w:line="276" w:lineRule="auto"/>
        <w:jc w:val="center"/>
        <w:rPr>
          <w:rFonts w:ascii="Adobe Caslon Pro" w:eastAsia="MS Mincho" w:hAnsi="Adobe Caslon Pro" w:cs="Arial"/>
          <w:lang w:val="es-ES_tradnl" w:eastAsia="es-ES"/>
        </w:rPr>
      </w:pPr>
    </w:p>
    <w:p w:rsidR="00335CE3" w:rsidRPr="00532691" w:rsidRDefault="00335CE3" w:rsidP="00335CE3">
      <w:pPr>
        <w:spacing w:line="276" w:lineRule="auto"/>
        <w:jc w:val="both"/>
        <w:rPr>
          <w:rFonts w:ascii="Adobe Caslon Pro" w:hAnsi="Adobe Caslon Pro" w:cs="Arial"/>
          <w:sz w:val="24"/>
          <w:szCs w:val="24"/>
          <w:lang w:val="es-ES_tradnl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Como se puede apreciar, los rubros que presentan el mayor número de áreas de oportunidad, corresponden a: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(comprobación) </w:t>
      </w:r>
      <w:r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con el 53%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%,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  <w:r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(autorización) </w:t>
      </w:r>
      <w:r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con el 18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%</w:t>
      </w:r>
      <w:r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,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  <w:r w:rsidRPr="00532691">
        <w:rPr>
          <w:rFonts w:ascii="Adobe Caslon Pro" w:eastAsia="MS Mincho" w:hAnsi="Adobe Caslon Pro" w:cs="Arial"/>
          <w:lang w:eastAsia="es-ES"/>
        </w:rPr>
        <w:t xml:space="preserve">en otras áreas de oportunidad identificadas </w:t>
      </w:r>
      <w:r w:rsidRPr="00532691">
        <w:rPr>
          <w:rFonts w:ascii="Adobe Caslon Pro" w:eastAsia="MS Mincho" w:hAnsi="Adobe Caslon Pro" w:cs="Arial"/>
          <w:b/>
          <w:lang w:eastAsia="es-ES"/>
        </w:rPr>
        <w:t xml:space="preserve">(otros) </w:t>
      </w:r>
      <w:r>
        <w:rPr>
          <w:rFonts w:ascii="Adobe Caslon Pro" w:eastAsia="MS Mincho" w:hAnsi="Adobe Caslon Pro" w:cs="Arial"/>
          <w:lang w:eastAsia="es-ES"/>
        </w:rPr>
        <w:t>con el 16</w:t>
      </w:r>
      <w:r>
        <w:rPr>
          <w:rFonts w:ascii="Adobe Caslon Pro" w:eastAsia="MS Mincho" w:hAnsi="Adobe Caslon Pro" w:cs="Arial"/>
          <w:lang w:eastAsia="es-ES"/>
        </w:rPr>
        <w:t>%</w:t>
      </w:r>
      <w:r>
        <w:rPr>
          <w:rFonts w:ascii="Adobe Caslon Pro" w:eastAsia="MS Mincho" w:hAnsi="Adobe Caslon Pro" w:cs="Arial"/>
          <w:lang w:eastAsia="es-ES"/>
        </w:rPr>
        <w:t xml:space="preserve">, 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(solicitud)</w:t>
      </w:r>
      <w:r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con el 9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%,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  <w:r>
        <w:rPr>
          <w:rFonts w:ascii="Adobe Caslon Pro" w:eastAsia="MS Mincho" w:hAnsi="Adobe Caslon Pro" w:cs="Arial"/>
          <w:lang w:eastAsia="es-ES"/>
        </w:rPr>
        <w:t>y</w:t>
      </w:r>
      <w:r w:rsidRPr="00532691">
        <w:rPr>
          <w:rFonts w:ascii="Adobe Caslon Pro" w:eastAsia="MS Mincho" w:hAnsi="Adobe Caslon Pro" w:cs="Arial"/>
          <w:lang w:eastAsia="es-ES"/>
        </w:rPr>
        <w:t xml:space="preserve"> con el porcentaje mínimo 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(</w:t>
      </w:r>
      <w:r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ministr</w:t>
      </w:r>
      <w:r w:rsidRPr="00532691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>ación)</w:t>
      </w:r>
      <w:r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 con el 3</w:t>
      </w: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 xml:space="preserve">% </w:t>
      </w:r>
      <w:r w:rsidRPr="00532691">
        <w:rPr>
          <w:rFonts w:ascii="Adobe Caslon Pro" w:eastAsia="MS Mincho" w:hAnsi="Adobe Caslon Pro" w:cs="Arial"/>
          <w:lang w:eastAsia="es-ES"/>
        </w:rPr>
        <w:t>del total respectivamente.</w:t>
      </w:r>
      <w:r w:rsidRPr="00FF5F75">
        <w:rPr>
          <w:rFonts w:ascii="Adobe Caslon Pro" w:eastAsia="MS Mincho" w:hAnsi="Adobe Caslon Pro" w:cs="Arial"/>
          <w:b/>
          <w:sz w:val="24"/>
          <w:szCs w:val="24"/>
          <w:lang w:val="es-ES_tradnl" w:eastAsia="es-ES"/>
        </w:rPr>
        <w:t xml:space="preserve"> </w:t>
      </w: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 w:val="24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4"/>
          <w:szCs w:val="24"/>
          <w:lang w:val="es-ES_tradnl" w:eastAsia="es-ES"/>
        </w:rPr>
        <w:t>A continuación, se hace una referencia de las áreas de oportunidad en las que existe mayor recurrencia:</w:t>
      </w:r>
    </w:p>
    <w:p w:rsidR="00335CE3" w:rsidRPr="00532691" w:rsidRDefault="00335CE3" w:rsidP="00335CE3">
      <w:pPr>
        <w:spacing w:after="0" w:line="276" w:lineRule="auto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</w:p>
    <w:p w:rsidR="00335CE3" w:rsidRPr="00532691" w:rsidRDefault="00357E8F" w:rsidP="00335CE3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Á</w:t>
      </w:r>
      <w:r w:rsidR="00335CE3"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REAS DE OPORTUNIDAD</w:t>
      </w:r>
    </w:p>
    <w:p w:rsidR="00335CE3" w:rsidRPr="00532691" w:rsidRDefault="00335CE3" w:rsidP="00335CE3">
      <w:pPr>
        <w:spacing w:after="0" w:line="276" w:lineRule="auto"/>
        <w:jc w:val="center"/>
        <w:rPr>
          <w:rFonts w:ascii="Adobe Caslon Pro" w:eastAsia="MS Mincho" w:hAnsi="Adobe Caslon Pro" w:cs="Arial"/>
          <w:b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4814"/>
        <w:gridCol w:w="6"/>
      </w:tblGrid>
      <w:tr w:rsidR="00335CE3" w:rsidRPr="00532691" w:rsidTr="00357E8F">
        <w:trPr>
          <w:gridAfter w:val="1"/>
          <w:wAfter w:w="6" w:type="dxa"/>
          <w:trHeight w:val="515"/>
        </w:trPr>
        <w:tc>
          <w:tcPr>
            <w:tcW w:w="5240" w:type="dxa"/>
            <w:hideMark/>
          </w:tcPr>
          <w:p w:rsidR="00335CE3" w:rsidRPr="00532691" w:rsidRDefault="00335CE3" w:rsidP="00041FB6">
            <w:pPr>
              <w:spacing w:line="276" w:lineRule="auto"/>
              <w:jc w:val="center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1B64E4">
              <w:rPr>
                <w:rFonts w:ascii="Adobe Caslon Pro" w:hAnsi="Adobe Caslon Pro" w:cs="Arial"/>
                <w:szCs w:val="18"/>
                <w:lang w:val="es-ES_tradnl" w:eastAsia="es-ES"/>
              </w:rPr>
              <w:t>Documento revisado</w:t>
            </w:r>
          </w:p>
        </w:tc>
        <w:tc>
          <w:tcPr>
            <w:tcW w:w="4814" w:type="dxa"/>
            <w:hideMark/>
          </w:tcPr>
          <w:p w:rsidR="00335CE3" w:rsidRPr="00532691" w:rsidRDefault="00335CE3" w:rsidP="00041FB6">
            <w:pPr>
              <w:spacing w:line="276" w:lineRule="auto"/>
              <w:jc w:val="center"/>
              <w:rPr>
                <w:rFonts w:ascii="Adobe Caslon Pro" w:hAnsi="Adobe Caslon Pro" w:cs="Arial"/>
                <w:sz w:val="18"/>
                <w:szCs w:val="18"/>
                <w:lang w:val="es-ES_tradnl" w:eastAsia="es-ES"/>
              </w:rPr>
            </w:pPr>
            <w:r w:rsidRPr="00532691">
              <w:rPr>
                <w:rFonts w:ascii="Adobe Caslon Pro" w:hAnsi="Adobe Caslon Pro" w:cs="Arial"/>
                <w:sz w:val="24"/>
                <w:szCs w:val="24"/>
                <w:lang w:val="es-ES_tradnl" w:eastAsia="es-ES"/>
              </w:rPr>
              <w:t>Acciones</w:t>
            </w:r>
          </w:p>
        </w:tc>
      </w:tr>
      <w:tr w:rsidR="00357E8F" w:rsidRPr="00532691" w:rsidTr="00357E8F">
        <w:tc>
          <w:tcPr>
            <w:tcW w:w="5240" w:type="dxa"/>
            <w:hideMark/>
          </w:tcPr>
          <w:p w:rsidR="00357E8F" w:rsidRPr="00357E8F" w:rsidRDefault="00357E8F" w:rsidP="008965FE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Documento que demuestre que realizó su aportación conforme al convenio de concertación(dentro de los 30 días hábiles siguientes, contados a partir del día siguiente a la firma del convenio).</w:t>
            </w:r>
          </w:p>
        </w:tc>
        <w:tc>
          <w:tcPr>
            <w:tcW w:w="4820" w:type="dxa"/>
            <w:gridSpan w:val="2"/>
          </w:tcPr>
          <w:p w:rsidR="00357E8F" w:rsidRPr="00357E8F" w:rsidRDefault="008965FE" w:rsidP="008965FE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*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Se </w:t>
            </w: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encontró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en el expediente impresión movimientos de la cuenta bancaria (cabe mencionar que dicho documento en la parte inferior indica que "no </w:t>
            </w: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tiene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validez oficial como comprobante legal o fiscal", se requiere copia del estado de cuenta.</w:t>
            </w:r>
          </w:p>
        </w:tc>
      </w:tr>
      <w:tr w:rsidR="00357E8F" w:rsidRPr="00532691" w:rsidTr="00357E8F">
        <w:tc>
          <w:tcPr>
            <w:tcW w:w="5240" w:type="dxa"/>
            <w:hideMark/>
          </w:tcPr>
          <w:p w:rsidR="00357E8F" w:rsidRPr="00357E8F" w:rsidRDefault="00357E8F" w:rsidP="008965FE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Opinión de cumplimiento de obligaciones fiscales en materia de seguridad social o manifestación bajo protesta de decir verdad, de no encontrarse obligado a inscribirse ante el </w:t>
            </w:r>
            <w:r w:rsidR="008965FE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IMSS</w:t>
            </w: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por no tener trabajadores a su cargo.</w:t>
            </w:r>
          </w:p>
        </w:tc>
        <w:tc>
          <w:tcPr>
            <w:tcW w:w="4820" w:type="dxa"/>
            <w:gridSpan w:val="2"/>
            <w:hideMark/>
          </w:tcPr>
          <w:p w:rsidR="00357E8F" w:rsidRPr="00357E8F" w:rsidRDefault="008965FE" w:rsidP="008965FE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*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El documento es de fecha 14-mzo-2017 (con vigencia hasta el 13-abr-2017), por lo que no se encuentra vigente al momento de la autorización (24-jul-2017) o dispersión del incentivo (02-ago-2017)</w:t>
            </w:r>
          </w:p>
        </w:tc>
      </w:tr>
      <w:tr w:rsidR="00357E8F" w:rsidRPr="00532691" w:rsidTr="00357E8F">
        <w:tc>
          <w:tcPr>
            <w:tcW w:w="5240" w:type="dxa"/>
            <w:hideMark/>
          </w:tcPr>
          <w:p w:rsidR="00357E8F" w:rsidRPr="00357E8F" w:rsidRDefault="00357E8F" w:rsidP="008965FE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Resolución y notificación del dictamen autorización del incentivo (no mayor a 40 días hábiles contados a partir del día hábil siguiente a la recepción de la solicitud).</w:t>
            </w:r>
          </w:p>
        </w:tc>
        <w:tc>
          <w:tcPr>
            <w:tcW w:w="4820" w:type="dxa"/>
            <w:gridSpan w:val="2"/>
            <w:hideMark/>
          </w:tcPr>
          <w:p w:rsidR="00357E8F" w:rsidRPr="00357E8F" w:rsidRDefault="008965FE" w:rsidP="008965FE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*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La </w:t>
            </w: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autorización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del apoyo (07-ago-2017) excede de los 40 </w:t>
            </w: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días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</w:t>
            </w: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hábiles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que se indican en el art. 39 </w:t>
            </w: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fracción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</w:t>
            </w: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III.</w:t>
            </w:r>
          </w:p>
        </w:tc>
      </w:tr>
      <w:tr w:rsidR="00357E8F" w:rsidRPr="00532691" w:rsidTr="00357E8F">
        <w:tc>
          <w:tcPr>
            <w:tcW w:w="5240" w:type="dxa"/>
            <w:hideMark/>
          </w:tcPr>
          <w:p w:rsidR="00357E8F" w:rsidRPr="00357E8F" w:rsidRDefault="00357E8F" w:rsidP="008965FE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Informe final detallado (sobre los resultados y alcances obtenidos en la ejecución de las acciones materia del convenio y del ejercicio de los recursos otorgados.</w:t>
            </w:r>
          </w:p>
        </w:tc>
        <w:tc>
          <w:tcPr>
            <w:tcW w:w="4820" w:type="dxa"/>
            <w:gridSpan w:val="2"/>
            <w:hideMark/>
          </w:tcPr>
          <w:p w:rsidR="00357E8F" w:rsidRPr="00357E8F" w:rsidRDefault="008965FE" w:rsidP="008965FE">
            <w:pPr>
              <w:jc w:val="both"/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</w:pPr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*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El documento debe ser suscrito por el ben</w:t>
            </w:r>
            <w:r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eficiario, y el que se encontró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en el expediente </w:t>
            </w: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>está</w:t>
            </w:r>
            <w:r w:rsidR="00357E8F"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elaborado por la</w:t>
            </w:r>
            <w:r w:rsidRPr="00357E8F">
              <w:rPr>
                <w:rFonts w:ascii="Adobe Caslon Pro" w:hAnsi="Adobe Caslon Pro" w:cs="Arial"/>
                <w:sz w:val="20"/>
                <w:szCs w:val="24"/>
                <w:lang w:val="es-ES_tradnl" w:eastAsia="es-ES"/>
              </w:rPr>
              <w:t xml:space="preserve"> FND</w:t>
            </w:r>
          </w:p>
        </w:tc>
      </w:tr>
    </w:tbl>
    <w:p w:rsidR="00335CE3" w:rsidRPr="00532691" w:rsidRDefault="00335CE3" w:rsidP="00335CE3">
      <w:pPr>
        <w:spacing w:after="0" w:line="240" w:lineRule="auto"/>
        <w:jc w:val="both"/>
        <w:rPr>
          <w:rFonts w:ascii="Adobe Caslon Pro" w:eastAsia="MS Mincho" w:hAnsi="Adobe Caslon Pro" w:cs="Arial"/>
          <w:sz w:val="10"/>
          <w:szCs w:val="10"/>
          <w:lang w:val="es-ES_tradnl" w:eastAsia="es-ES"/>
        </w:rPr>
      </w:pPr>
    </w:p>
    <w:p w:rsidR="00335CE3" w:rsidRPr="00532691" w:rsidRDefault="00335CE3" w:rsidP="00335CE3">
      <w:pPr>
        <w:spacing w:after="0" w:line="276" w:lineRule="auto"/>
        <w:jc w:val="center"/>
        <w:rPr>
          <w:rFonts w:ascii="Adobe Caslon Pro" w:eastAsia="MS Mincho" w:hAnsi="Adobe Caslon Pro" w:cs="Arial"/>
          <w:b/>
          <w:lang w:val="es-ES_tradnl" w:eastAsia="es-ES"/>
        </w:rPr>
      </w:pPr>
    </w:p>
    <w:p w:rsidR="00335CE3" w:rsidRPr="00532691" w:rsidRDefault="00335CE3" w:rsidP="00335CE3">
      <w:pPr>
        <w:spacing w:after="0" w:line="276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</w:p>
    <w:p w:rsidR="00335CE3" w:rsidRPr="00532691" w:rsidRDefault="00335CE3" w:rsidP="0049167E">
      <w:pPr>
        <w:spacing w:before="240" w:line="360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El estatus de las áreas de oportunidad, se dan a conocer conforme a lo dispuesto en los numerales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5.4, 5.7 y 5.11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 Políticas; 6.7, 6.13, 6.18, y 6.23 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Manual de Políticas y Procedimientos para el Seguimiento Normativo y la Revisión de Expedientes, de los Programas Operados por la Dirección General Adjunta de Promoción de Negocios y Coordinación Regional; inciso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j)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numeral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4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apartado </w:t>
      </w:r>
      <w:r w:rsidRPr="00532691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532691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, del Manual de Procedimientos de Operación de los componentes de Mezcla de Recursos, a fin de que cuente con elementos que le permitan dar seguimiento a las áreas de oportunidad determinadas, o en su caso, determinar las acciones que se consideren procedentes.</w:t>
      </w:r>
    </w:p>
    <w:p w:rsidR="00335CE3" w:rsidRDefault="00335CE3" w:rsidP="00335CE3">
      <w:bookmarkStart w:id="0" w:name="_GoBack"/>
      <w:bookmarkEnd w:id="0"/>
    </w:p>
    <w:p w:rsidR="00335CE3" w:rsidRDefault="00335CE3" w:rsidP="00335CE3"/>
    <w:p w:rsidR="001D243D" w:rsidRDefault="0049167E"/>
    <w:sectPr w:rsidR="001D243D" w:rsidSect="008D221F">
      <w:headerReference w:type="default" r:id="rId5"/>
      <w:footerReference w:type="even" r:id="rId6"/>
      <w:footerReference w:type="default" r:id="rId7"/>
      <w:pgSz w:w="12240" w:h="15840"/>
      <w:pgMar w:top="2552" w:right="758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Default="0049167E" w:rsidP="003C7F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92E" w:rsidRDefault="0049167E" w:rsidP="000139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2E" w:rsidRPr="0001392E" w:rsidRDefault="0049167E" w:rsidP="003C7F95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01392E">
      <w:rPr>
        <w:rStyle w:val="Nmerodepgina"/>
        <w:sz w:val="16"/>
        <w:szCs w:val="16"/>
      </w:rPr>
      <w:fldChar w:fldCharType="begin"/>
    </w:r>
    <w:r w:rsidRPr="0001392E">
      <w:rPr>
        <w:rStyle w:val="Nmerodepgina"/>
        <w:sz w:val="16"/>
        <w:szCs w:val="16"/>
      </w:rPr>
      <w:instrText xml:space="preserve">PAGE  </w:instrText>
    </w:r>
    <w:r w:rsidRPr="0001392E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</w:t>
    </w:r>
    <w:r w:rsidRPr="0001392E">
      <w:rPr>
        <w:rStyle w:val="Nmerodepgina"/>
        <w:sz w:val="16"/>
        <w:szCs w:val="16"/>
      </w:rPr>
      <w:fldChar w:fldCharType="end"/>
    </w:r>
  </w:p>
  <w:p w:rsidR="0001392E" w:rsidRDefault="0049167E" w:rsidP="0001392E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56" w:rsidRDefault="004916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D8E9192" wp14:editId="2173529A">
          <wp:simplePos x="0" y="0"/>
          <wp:positionH relativeFrom="page">
            <wp:align>right</wp:align>
          </wp:positionH>
          <wp:positionV relativeFrom="paragraph">
            <wp:posOffset>-432591</wp:posOffset>
          </wp:positionV>
          <wp:extent cx="7774656" cy="1012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CORPORA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56" cy="1012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1092"/>
    <w:multiLevelType w:val="hybridMultilevel"/>
    <w:tmpl w:val="F020C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E3"/>
    <w:rsid w:val="002A59A9"/>
    <w:rsid w:val="00335CE3"/>
    <w:rsid w:val="00357E8F"/>
    <w:rsid w:val="0049167E"/>
    <w:rsid w:val="006118D8"/>
    <w:rsid w:val="008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1169"/>
  <w15:chartTrackingRefBased/>
  <w15:docId w15:val="{4B3197D4-B3CC-494A-AD42-C378CD8F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5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5CE3"/>
  </w:style>
  <w:style w:type="paragraph" w:styleId="Piedepgina">
    <w:name w:val="footer"/>
    <w:basedOn w:val="Normal"/>
    <w:link w:val="PiedepginaCar"/>
    <w:uiPriority w:val="99"/>
    <w:semiHidden/>
    <w:unhideWhenUsed/>
    <w:rsid w:val="00335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5CE3"/>
  </w:style>
  <w:style w:type="table" w:styleId="Tablaconcuadrcula">
    <w:name w:val="Table Grid"/>
    <w:basedOn w:val="Tablanormal"/>
    <w:rsid w:val="00335CE3"/>
    <w:pPr>
      <w:spacing w:after="0" w:line="240" w:lineRule="auto"/>
    </w:pPr>
    <w:rPr>
      <w:rFonts w:ascii="Cambria" w:eastAsia="MS Mincho" w:hAnsi="Cambr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335CE3"/>
  </w:style>
  <w:style w:type="paragraph" w:styleId="Prrafodelista">
    <w:name w:val="List Paragraph"/>
    <w:basedOn w:val="Normal"/>
    <w:uiPriority w:val="34"/>
    <w:qFormat/>
    <w:rsid w:val="0033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3</cp:revision>
  <dcterms:created xsi:type="dcterms:W3CDTF">2018-09-10T19:05:00Z</dcterms:created>
  <dcterms:modified xsi:type="dcterms:W3CDTF">2018-09-10T19:21:00Z</dcterms:modified>
</cp:coreProperties>
</file>