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2691" w:rsidRPr="00532691" w:rsidRDefault="00532691" w:rsidP="00532691">
      <w:pPr>
        <w:spacing w:after="0" w:line="276" w:lineRule="auto"/>
        <w:jc w:val="center"/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>Gerencia de Seguimiento Normativo de los Programas de Apoyo</w:t>
      </w:r>
    </w:p>
    <w:p w:rsidR="00532691" w:rsidRPr="00532691" w:rsidRDefault="00532691" w:rsidP="00532691">
      <w:pPr>
        <w:spacing w:after="0" w:line="276" w:lineRule="auto"/>
        <w:jc w:val="center"/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>Resumen Ejecutivo de Expedientes Revisados de los Programas Externos.</w:t>
      </w:r>
    </w:p>
    <w:p w:rsidR="00532691" w:rsidRPr="00532691" w:rsidRDefault="00532691" w:rsidP="00532691">
      <w:pPr>
        <w:spacing w:after="0" w:line="276" w:lineRule="auto"/>
        <w:jc w:val="center"/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 xml:space="preserve">Coordinación Regional </w:t>
      </w:r>
      <w:r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>Noroeste</w:t>
      </w:r>
    </w:p>
    <w:p w:rsidR="00532691" w:rsidRPr="00532691" w:rsidRDefault="00532691" w:rsidP="00532691">
      <w:pPr>
        <w:spacing w:after="0" w:line="276" w:lineRule="auto"/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</w:pP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>Derivado de las funciones encomendadas a la GSNPA, de revisar los expedientes de las solicitudes de apoyo que hubieran recibido recursos correspondientes a los Programas de Apoyo, Internos y Externos, a cargo de la Dirección General Adjunta de Promoción de Negocios y Coordinación Regional; para realizar un análisis y evaluación de los procesos establecidos por la normatividad que los rige; y asimismo coordinar la elaboración de las acciones de mejora que fortalezcan el control interno de los procesos de entrega, supervisión y comprobación de los recursos de los Programas antes mencionados.</w:t>
      </w: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 xml:space="preserve"> Conforme al Programa de Trabajo de 2018, para revisar los expedientes correspondientes al ejercicio 2017 y con el objeto de incrementar la eficiencia y eficacia en su gestión, dando certeza del cumplimiento a la normativa aplicable vigente a los programas internos y externos; se llevó a cabo la evaluación de los controles internos de los procesos de operación para el otorgamiento de los apoyos internos y externos.</w:t>
      </w: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sz w:val="24"/>
          <w:szCs w:val="24"/>
          <w:highlight w:val="yellow"/>
          <w:lang w:val="es-ES_tradnl" w:eastAsia="es-ES"/>
        </w:rPr>
        <w:t>OFICIO</w:t>
      </w: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 xml:space="preserve"> </w:t>
      </w: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>De los 1,109 expedientes integrados por concepto de los Programas Externos que fueron ejecutados en las 80 agencias, correspondientes al ejercicio de 2017, se seleccionaron 38 expedientes; para su revisión, con la herramienta de “Muestra estadística y aleatoria”, el cual nos da un nivel de confianza del 90%, una Probabilidad de error del 4% y Precisión del 5%; operados en el ejercicio 2017.</w:t>
      </w: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  <w:r>
        <w:rPr>
          <w:rFonts w:ascii="Adobe Caslon Pro" w:eastAsia="MS Mincho" w:hAnsi="Adobe Caslon Pro" w:cs="Arial"/>
          <w:sz w:val="24"/>
          <w:szCs w:val="24"/>
          <w:lang w:val="es-ES_tradnl" w:eastAsia="es-ES"/>
        </w:rPr>
        <w:t>De la revisión de 7</w:t>
      </w:r>
      <w:r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 xml:space="preserve"> expedientes integrados por los apoyos otorgados mediante el programa de:</w:t>
      </w: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</w:p>
    <w:p w:rsidR="00532691" w:rsidRPr="00532691" w:rsidRDefault="00532691" w:rsidP="00532691">
      <w:pPr>
        <w:pStyle w:val="Prrafodelista"/>
        <w:numPr>
          <w:ilvl w:val="0"/>
          <w:numId w:val="3"/>
        </w:num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>Programa de Fomento a la Agricultura.</w:t>
      </w: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eastAsia="es-ES"/>
        </w:rPr>
      </w:pPr>
      <w:r w:rsidRPr="00532691">
        <w:rPr>
          <w:rFonts w:ascii="Adobe Caslon Pro" w:eastAsia="MS Mincho" w:hAnsi="Adobe Caslon Pro" w:cs="Arial"/>
          <w:sz w:val="24"/>
          <w:szCs w:val="24"/>
          <w:lang w:eastAsia="es-ES"/>
        </w:rPr>
        <w:t>Se identificaron 24 áreas</w:t>
      </w:r>
      <w:r>
        <w:rPr>
          <w:rFonts w:ascii="Adobe Caslon Pro" w:eastAsia="MS Mincho" w:hAnsi="Adobe Caslon Pro" w:cs="Arial"/>
          <w:sz w:val="24"/>
          <w:szCs w:val="24"/>
          <w:lang w:eastAsia="es-ES"/>
        </w:rPr>
        <w:t xml:space="preserve"> de oportunidad, de las cuales 10</w:t>
      </w:r>
      <w:r w:rsidRPr="00532691">
        <w:rPr>
          <w:rFonts w:ascii="Adobe Caslon Pro" w:eastAsia="MS Mincho" w:hAnsi="Adobe Caslon Pro" w:cs="Arial"/>
          <w:sz w:val="24"/>
          <w:szCs w:val="24"/>
          <w:lang w:eastAsia="es-ES"/>
        </w:rPr>
        <w:t xml:space="preserve"> están relacionadas con la </w:t>
      </w:r>
      <w:r w:rsidRPr="00532691">
        <w:rPr>
          <w:rFonts w:ascii="Adobe Caslon Pro" w:eastAsia="MS Mincho" w:hAnsi="Adobe Caslon Pro" w:cs="Arial"/>
          <w:i/>
          <w:sz w:val="24"/>
          <w:szCs w:val="24"/>
          <w:lang w:eastAsia="es-ES"/>
        </w:rPr>
        <w:t>solicitud</w:t>
      </w:r>
      <w:r>
        <w:rPr>
          <w:rFonts w:ascii="Adobe Caslon Pro" w:eastAsia="MS Mincho" w:hAnsi="Adobe Caslon Pro" w:cs="Arial"/>
          <w:sz w:val="24"/>
          <w:szCs w:val="24"/>
          <w:lang w:eastAsia="es-ES"/>
        </w:rPr>
        <w:t>, 0</w:t>
      </w:r>
      <w:r w:rsidRPr="00532691">
        <w:rPr>
          <w:rFonts w:ascii="Adobe Caslon Pro" w:eastAsia="MS Mincho" w:hAnsi="Adobe Caslon Pro" w:cs="Arial"/>
          <w:sz w:val="24"/>
          <w:szCs w:val="24"/>
          <w:lang w:eastAsia="es-ES"/>
        </w:rPr>
        <w:t xml:space="preserve"> con la </w:t>
      </w:r>
      <w:r w:rsidRPr="00532691">
        <w:rPr>
          <w:rFonts w:ascii="Adobe Caslon Pro" w:eastAsia="MS Mincho" w:hAnsi="Adobe Caslon Pro" w:cs="Arial"/>
          <w:i/>
          <w:sz w:val="24"/>
          <w:szCs w:val="24"/>
          <w:lang w:eastAsia="es-ES"/>
        </w:rPr>
        <w:t>autorización</w:t>
      </w:r>
      <w:r w:rsidRPr="00532691">
        <w:rPr>
          <w:rFonts w:ascii="Adobe Caslon Pro" w:eastAsia="MS Mincho" w:hAnsi="Adobe Caslon Pro" w:cs="Arial"/>
          <w:sz w:val="24"/>
          <w:szCs w:val="24"/>
          <w:lang w:eastAsia="es-ES"/>
        </w:rPr>
        <w:t>, 1</w:t>
      </w:r>
      <w:r>
        <w:rPr>
          <w:rFonts w:ascii="Adobe Caslon Pro" w:eastAsia="MS Mincho" w:hAnsi="Adobe Caslon Pro" w:cs="Arial"/>
          <w:sz w:val="24"/>
          <w:szCs w:val="24"/>
          <w:lang w:eastAsia="es-ES"/>
        </w:rPr>
        <w:t xml:space="preserve"> con la ministración, 9</w:t>
      </w:r>
      <w:r w:rsidRPr="00532691">
        <w:rPr>
          <w:rFonts w:ascii="Adobe Caslon Pro" w:eastAsia="MS Mincho" w:hAnsi="Adobe Caslon Pro" w:cs="Arial"/>
          <w:sz w:val="24"/>
          <w:szCs w:val="24"/>
          <w:lang w:eastAsia="es-ES"/>
        </w:rPr>
        <w:t xml:space="preserve"> con la </w:t>
      </w:r>
      <w:r w:rsidRPr="00532691">
        <w:rPr>
          <w:rFonts w:ascii="Adobe Caslon Pro" w:eastAsia="MS Mincho" w:hAnsi="Adobe Caslon Pro" w:cs="Arial"/>
          <w:i/>
          <w:sz w:val="24"/>
          <w:szCs w:val="24"/>
          <w:lang w:eastAsia="es-ES"/>
        </w:rPr>
        <w:t>comprobación</w:t>
      </w:r>
      <w:r>
        <w:rPr>
          <w:rFonts w:ascii="Adobe Caslon Pro" w:eastAsia="MS Mincho" w:hAnsi="Adobe Caslon Pro" w:cs="Arial"/>
          <w:i/>
          <w:sz w:val="24"/>
          <w:szCs w:val="24"/>
          <w:lang w:eastAsia="es-ES"/>
        </w:rPr>
        <w:t xml:space="preserve"> y 4</w:t>
      </w:r>
      <w:r w:rsidRPr="00532691">
        <w:rPr>
          <w:rFonts w:ascii="Adobe Caslon Pro" w:eastAsia="MS Mincho" w:hAnsi="Adobe Caslon Pro" w:cs="Arial"/>
          <w:i/>
          <w:sz w:val="24"/>
          <w:szCs w:val="24"/>
          <w:lang w:eastAsia="es-ES"/>
        </w:rPr>
        <w:t xml:space="preserve"> </w:t>
      </w:r>
      <w:r w:rsidRPr="00532691">
        <w:rPr>
          <w:rFonts w:ascii="Adobe Caslon Pro" w:hAnsi="Adobe Caslon Pro" w:cs="Arial"/>
          <w:sz w:val="24"/>
          <w:szCs w:val="24"/>
        </w:rPr>
        <w:t xml:space="preserve">con </w:t>
      </w:r>
      <w:r w:rsidRPr="00532691">
        <w:rPr>
          <w:rFonts w:ascii="Adobe Caslon Pro" w:hAnsi="Adobe Caslon Pro" w:cs="Arial"/>
          <w:i/>
          <w:sz w:val="24"/>
          <w:szCs w:val="24"/>
        </w:rPr>
        <w:t>otras áreas de oportunidad</w:t>
      </w:r>
      <w:r w:rsidRPr="00532691">
        <w:rPr>
          <w:rFonts w:ascii="Adobe Caslon Pro" w:eastAsia="MS Mincho" w:hAnsi="Adobe Caslon Pro" w:cs="Arial"/>
          <w:sz w:val="24"/>
          <w:szCs w:val="24"/>
          <w:lang w:eastAsia="es-ES"/>
        </w:rPr>
        <w:t xml:space="preserve">. </w:t>
      </w:r>
    </w:p>
    <w:tbl>
      <w:tblPr>
        <w:tblW w:w="46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0"/>
        <w:gridCol w:w="2120"/>
      </w:tblGrid>
      <w:tr w:rsidR="00532691" w:rsidRPr="00532691" w:rsidTr="00ED533E">
        <w:trPr>
          <w:trHeight w:val="255"/>
          <w:jc w:val="center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532691" w:rsidRPr="00532691" w:rsidRDefault="00532691" w:rsidP="00532691">
            <w:pPr>
              <w:spacing w:after="0" w:line="240" w:lineRule="auto"/>
              <w:jc w:val="center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 w:rsidRPr="00532691"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 xml:space="preserve">Áreas De Oportunidad 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532691" w:rsidRPr="00532691" w:rsidRDefault="00276FA5" w:rsidP="00532691">
            <w:pPr>
              <w:spacing w:after="0" w:line="240" w:lineRule="auto"/>
              <w:jc w:val="center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>NORO</w:t>
            </w:r>
            <w:r w:rsidR="00532691" w:rsidRPr="00532691"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>ESTE</w:t>
            </w:r>
          </w:p>
        </w:tc>
      </w:tr>
      <w:tr w:rsidR="00532691" w:rsidRPr="00532691" w:rsidTr="00ED533E">
        <w:trPr>
          <w:trHeight w:val="255"/>
          <w:jc w:val="center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32691" w:rsidP="00532691">
            <w:pPr>
              <w:spacing w:after="0" w:line="240" w:lineRule="auto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 w:rsidRPr="00532691"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 xml:space="preserve">Solicitud 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20C3F" w:rsidP="00532691">
            <w:pPr>
              <w:spacing w:after="0" w:line="240" w:lineRule="auto"/>
              <w:jc w:val="center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>10</w:t>
            </w:r>
          </w:p>
        </w:tc>
      </w:tr>
      <w:tr w:rsidR="00532691" w:rsidRPr="00532691" w:rsidTr="00ED533E">
        <w:trPr>
          <w:trHeight w:val="255"/>
          <w:jc w:val="center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32691" w:rsidP="00532691">
            <w:pPr>
              <w:spacing w:after="0" w:line="240" w:lineRule="auto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 w:rsidRPr="00532691"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 xml:space="preserve">Autorización 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20C3F" w:rsidP="00532691">
            <w:pPr>
              <w:spacing w:after="0" w:line="240" w:lineRule="auto"/>
              <w:jc w:val="center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>0</w:t>
            </w:r>
          </w:p>
        </w:tc>
      </w:tr>
      <w:tr w:rsidR="00532691" w:rsidRPr="00532691" w:rsidTr="00ED533E">
        <w:trPr>
          <w:trHeight w:val="255"/>
          <w:jc w:val="center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32691" w:rsidP="00532691">
            <w:pPr>
              <w:spacing w:after="0" w:line="240" w:lineRule="auto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 w:rsidRPr="00532691"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 xml:space="preserve">Ministración 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20C3F" w:rsidP="00532691">
            <w:pPr>
              <w:spacing w:after="0" w:line="240" w:lineRule="auto"/>
              <w:jc w:val="center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>1</w:t>
            </w:r>
          </w:p>
        </w:tc>
      </w:tr>
      <w:tr w:rsidR="00532691" w:rsidRPr="00532691" w:rsidTr="00ED533E">
        <w:trPr>
          <w:trHeight w:val="255"/>
          <w:jc w:val="center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32691" w:rsidP="00532691">
            <w:pPr>
              <w:spacing w:after="0" w:line="240" w:lineRule="auto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 w:rsidRPr="00532691"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>Comprobación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20C3F" w:rsidP="00532691">
            <w:pPr>
              <w:spacing w:after="0" w:line="240" w:lineRule="auto"/>
              <w:jc w:val="center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>9</w:t>
            </w:r>
          </w:p>
        </w:tc>
      </w:tr>
      <w:tr w:rsidR="00532691" w:rsidRPr="00532691" w:rsidTr="00ED533E">
        <w:trPr>
          <w:trHeight w:val="255"/>
          <w:jc w:val="center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32691" w:rsidRPr="00532691" w:rsidRDefault="00532691" w:rsidP="00532691">
            <w:pPr>
              <w:spacing w:after="0" w:line="240" w:lineRule="auto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 w:rsidRPr="00532691"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>Otros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32691" w:rsidRPr="00532691" w:rsidRDefault="00520C3F" w:rsidP="00532691">
            <w:pPr>
              <w:spacing w:after="0" w:line="240" w:lineRule="auto"/>
              <w:jc w:val="center"/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</w:pPr>
            <w:r>
              <w:rPr>
                <w:rFonts w:ascii="Adobe Caslon Pro" w:eastAsia="MS Mincho" w:hAnsi="Adobe Caslon Pro" w:cs="Arial"/>
                <w:sz w:val="20"/>
                <w:szCs w:val="24"/>
                <w:lang w:val="es-ES_tradnl" w:eastAsia="es-ES"/>
              </w:rPr>
              <w:t>4</w:t>
            </w:r>
          </w:p>
        </w:tc>
      </w:tr>
      <w:tr w:rsidR="00532691" w:rsidRPr="00532691" w:rsidTr="00ED533E">
        <w:trPr>
          <w:trHeight w:val="73"/>
          <w:jc w:val="center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32691" w:rsidP="00532691">
            <w:pPr>
              <w:spacing w:after="0" w:line="240" w:lineRule="auto"/>
              <w:jc w:val="right"/>
              <w:rPr>
                <w:rFonts w:ascii="Adobe Caslon Pro" w:eastAsia="MS Mincho" w:hAnsi="Adobe Caslon Pro" w:cs="Arial"/>
                <w:b/>
                <w:sz w:val="20"/>
                <w:szCs w:val="24"/>
                <w:lang w:val="es-ES_tradnl" w:eastAsia="es-ES"/>
              </w:rPr>
            </w:pPr>
            <w:r w:rsidRPr="00532691">
              <w:rPr>
                <w:rFonts w:ascii="Adobe Caslon Pro" w:eastAsia="MS Mincho" w:hAnsi="Adobe Caslon Pro" w:cs="Arial"/>
                <w:b/>
                <w:sz w:val="20"/>
                <w:szCs w:val="24"/>
                <w:lang w:val="es-ES_tradnl" w:eastAsia="es-ES"/>
              </w:rPr>
              <w:t>TOTAL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32691" w:rsidRPr="00532691" w:rsidRDefault="00532691" w:rsidP="00532691">
            <w:pPr>
              <w:spacing w:after="0" w:line="240" w:lineRule="auto"/>
              <w:jc w:val="center"/>
              <w:rPr>
                <w:rFonts w:ascii="Adobe Caslon Pro" w:eastAsia="MS Mincho" w:hAnsi="Adobe Caslon Pro" w:cs="Arial"/>
                <w:b/>
                <w:sz w:val="20"/>
                <w:szCs w:val="24"/>
                <w:lang w:val="es-ES_tradnl" w:eastAsia="es-ES"/>
              </w:rPr>
            </w:pPr>
            <w:r w:rsidRPr="00532691">
              <w:rPr>
                <w:rFonts w:ascii="Adobe Caslon Pro" w:eastAsia="MS Mincho" w:hAnsi="Adobe Caslon Pro" w:cs="Arial"/>
                <w:b/>
                <w:sz w:val="20"/>
                <w:szCs w:val="24"/>
                <w:lang w:val="es-ES_tradnl" w:eastAsia="es-ES"/>
              </w:rPr>
              <w:t>24</w:t>
            </w:r>
          </w:p>
        </w:tc>
      </w:tr>
    </w:tbl>
    <w:p w:rsidR="00532691" w:rsidRPr="00532691" w:rsidRDefault="00532691" w:rsidP="00532691">
      <w:pPr>
        <w:spacing w:after="0" w:line="276" w:lineRule="auto"/>
        <w:jc w:val="center"/>
        <w:rPr>
          <w:rFonts w:ascii="Adobe Caslon Pro" w:eastAsia="MS Mincho" w:hAnsi="Adobe Caslon Pro" w:cs="Arial"/>
          <w:lang w:val="es-ES_tradnl" w:eastAsia="es-ES"/>
        </w:rPr>
      </w:pPr>
    </w:p>
    <w:p w:rsidR="00532691" w:rsidRPr="00532691" w:rsidRDefault="00532691" w:rsidP="00FF5F75">
      <w:pPr>
        <w:spacing w:line="276" w:lineRule="auto"/>
        <w:jc w:val="both"/>
        <w:rPr>
          <w:rFonts w:ascii="Adobe Caslon Pro" w:hAnsi="Adobe Caslon Pro" w:cs="Arial"/>
          <w:sz w:val="24"/>
          <w:szCs w:val="24"/>
          <w:lang w:val="es-ES_tradnl"/>
        </w:rPr>
      </w:pPr>
      <w:r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>Como se puede apreciar, los rubros que presentan el mayor número de áreas de oportunidad, corresponden a:</w:t>
      </w:r>
      <w:r w:rsidRPr="00532691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 xml:space="preserve"> (solicitud)</w:t>
      </w:r>
      <w:r w:rsidR="00FF5F75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 xml:space="preserve"> con el 42</w:t>
      </w:r>
      <w:r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>%,</w:t>
      </w:r>
      <w:r w:rsidRPr="00532691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 xml:space="preserve"> </w:t>
      </w:r>
      <w:r w:rsidR="00FF5F75" w:rsidRPr="00532691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 xml:space="preserve">(comprobación) </w:t>
      </w:r>
      <w:r w:rsidR="00FF5F75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>con el 38</w:t>
      </w:r>
      <w:r w:rsidR="00FF5F75"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>%,</w:t>
      </w:r>
      <w:r w:rsidR="00FF5F75" w:rsidRPr="00532691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 xml:space="preserve"> </w:t>
      </w:r>
      <w:r w:rsidRPr="00532691">
        <w:rPr>
          <w:rFonts w:ascii="Adobe Caslon Pro" w:eastAsia="MS Mincho" w:hAnsi="Adobe Caslon Pro" w:cs="Arial"/>
          <w:lang w:eastAsia="es-ES"/>
        </w:rPr>
        <w:t xml:space="preserve">en otras áreas de oportunidad identificadas </w:t>
      </w:r>
      <w:r w:rsidRPr="00532691">
        <w:rPr>
          <w:rFonts w:ascii="Adobe Caslon Pro" w:eastAsia="MS Mincho" w:hAnsi="Adobe Caslon Pro" w:cs="Arial"/>
          <w:b/>
          <w:lang w:eastAsia="es-ES"/>
        </w:rPr>
        <w:t xml:space="preserve">(otros) </w:t>
      </w:r>
      <w:r w:rsidR="00FF5F75">
        <w:rPr>
          <w:rFonts w:ascii="Adobe Caslon Pro" w:eastAsia="MS Mincho" w:hAnsi="Adobe Caslon Pro" w:cs="Arial"/>
          <w:lang w:eastAsia="es-ES"/>
        </w:rPr>
        <w:t>con el 17% y</w:t>
      </w:r>
      <w:r w:rsidRPr="00532691">
        <w:rPr>
          <w:rFonts w:ascii="Adobe Caslon Pro" w:eastAsia="MS Mincho" w:hAnsi="Adobe Caslon Pro" w:cs="Arial"/>
          <w:lang w:eastAsia="es-ES"/>
        </w:rPr>
        <w:t xml:space="preserve"> </w:t>
      </w:r>
      <w:r w:rsidR="00FF5F75" w:rsidRPr="00532691">
        <w:rPr>
          <w:rFonts w:ascii="Adobe Caslon Pro" w:eastAsia="MS Mincho" w:hAnsi="Adobe Caslon Pro" w:cs="Arial"/>
          <w:lang w:eastAsia="es-ES"/>
        </w:rPr>
        <w:t xml:space="preserve">con el porcentaje mínimo </w:t>
      </w:r>
      <w:r w:rsidR="00FF5F75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>(ministr</w:t>
      </w:r>
      <w:r w:rsidR="00FF5F75" w:rsidRPr="00532691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>ación)</w:t>
      </w:r>
      <w:r w:rsidR="00FF5F75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 xml:space="preserve"> con el 4</w:t>
      </w:r>
      <w:r w:rsidR="00FF5F75"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 xml:space="preserve">% </w:t>
      </w:r>
      <w:r w:rsidR="00FF5F75" w:rsidRPr="00532691">
        <w:rPr>
          <w:rFonts w:ascii="Adobe Caslon Pro" w:eastAsia="MS Mincho" w:hAnsi="Adobe Caslon Pro" w:cs="Arial"/>
          <w:lang w:eastAsia="es-ES"/>
        </w:rPr>
        <w:t>del total respectivamente.</w:t>
      </w:r>
      <w:r w:rsidR="00FF5F75" w:rsidRPr="00FF5F75">
        <w:rPr>
          <w:rFonts w:ascii="Adobe Caslon Pro" w:eastAsia="MS Mincho" w:hAnsi="Adobe Caslon Pro" w:cs="Arial"/>
          <w:b/>
          <w:sz w:val="24"/>
          <w:szCs w:val="24"/>
          <w:lang w:val="es-ES_tradnl" w:eastAsia="es-ES"/>
        </w:rPr>
        <w:t xml:space="preserve"> </w:t>
      </w: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4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sz w:val="24"/>
          <w:szCs w:val="24"/>
          <w:lang w:val="es-ES_tradnl" w:eastAsia="es-ES"/>
        </w:rPr>
        <w:t>A continuación, se hace una referencia de las áreas de oportunidad en las que existe mayor recurrencia:</w:t>
      </w:r>
    </w:p>
    <w:p w:rsidR="00532691" w:rsidRPr="00532691" w:rsidRDefault="00532691" w:rsidP="00532691">
      <w:pPr>
        <w:spacing w:after="0" w:line="276" w:lineRule="auto"/>
        <w:rPr>
          <w:rFonts w:ascii="Adobe Caslon Pro" w:eastAsia="MS Mincho" w:hAnsi="Adobe Caslon Pro" w:cs="Arial"/>
          <w:sz w:val="20"/>
          <w:szCs w:val="24"/>
          <w:lang w:val="es-ES_tradnl" w:eastAsia="es-ES"/>
        </w:rPr>
      </w:pPr>
    </w:p>
    <w:p w:rsidR="00532691" w:rsidRPr="00532691" w:rsidRDefault="00532691" w:rsidP="00532691">
      <w:pPr>
        <w:spacing w:after="0" w:line="276" w:lineRule="auto"/>
        <w:jc w:val="center"/>
        <w:rPr>
          <w:rFonts w:ascii="Adobe Caslon Pro" w:eastAsia="MS Mincho" w:hAnsi="Adobe Caslon Pro" w:cs="Arial"/>
          <w:sz w:val="20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sz w:val="20"/>
          <w:szCs w:val="24"/>
          <w:lang w:val="es-ES_tradnl" w:eastAsia="es-ES"/>
        </w:rPr>
        <w:t>ÁREAS DE OPORTUNIDAD</w:t>
      </w:r>
    </w:p>
    <w:p w:rsidR="00532691" w:rsidRPr="00532691" w:rsidRDefault="00532691" w:rsidP="00532691">
      <w:pPr>
        <w:spacing w:after="0" w:line="276" w:lineRule="auto"/>
        <w:jc w:val="center"/>
        <w:rPr>
          <w:rFonts w:ascii="Adobe Caslon Pro" w:eastAsia="MS Mincho" w:hAnsi="Adobe Caslon Pro" w:cs="Arial"/>
          <w:b/>
          <w:szCs w:val="24"/>
          <w:lang w:val="es-ES_tradnl" w:eastAsia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957"/>
        <w:gridCol w:w="5097"/>
        <w:gridCol w:w="6"/>
      </w:tblGrid>
      <w:tr w:rsidR="00532691" w:rsidRPr="00532691" w:rsidTr="001B64E4">
        <w:trPr>
          <w:gridAfter w:val="1"/>
          <w:wAfter w:w="6" w:type="dxa"/>
          <w:trHeight w:val="515"/>
        </w:trPr>
        <w:tc>
          <w:tcPr>
            <w:tcW w:w="4957" w:type="dxa"/>
            <w:hideMark/>
          </w:tcPr>
          <w:p w:rsidR="00532691" w:rsidRPr="00532691" w:rsidRDefault="00532691" w:rsidP="00532691">
            <w:pPr>
              <w:spacing w:line="276" w:lineRule="auto"/>
              <w:jc w:val="center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 w:rsidRPr="001B64E4">
              <w:rPr>
                <w:rFonts w:ascii="Adobe Caslon Pro" w:hAnsi="Adobe Caslon Pro" w:cs="Arial"/>
                <w:szCs w:val="18"/>
                <w:lang w:val="es-ES_tradnl" w:eastAsia="es-ES"/>
              </w:rPr>
              <w:t>Documento revisado</w:t>
            </w:r>
          </w:p>
        </w:tc>
        <w:tc>
          <w:tcPr>
            <w:tcW w:w="5097" w:type="dxa"/>
            <w:hideMark/>
          </w:tcPr>
          <w:p w:rsidR="00532691" w:rsidRPr="00532691" w:rsidRDefault="00532691" w:rsidP="00532691">
            <w:pPr>
              <w:spacing w:line="276" w:lineRule="auto"/>
              <w:jc w:val="center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 w:rsidRPr="00532691">
              <w:rPr>
                <w:rFonts w:ascii="Adobe Caslon Pro" w:hAnsi="Adobe Caslon Pro" w:cs="Arial"/>
                <w:sz w:val="24"/>
                <w:szCs w:val="24"/>
                <w:lang w:val="es-ES_tradnl" w:eastAsia="es-ES"/>
              </w:rPr>
              <w:t>Acciones</w:t>
            </w:r>
          </w:p>
        </w:tc>
      </w:tr>
      <w:tr w:rsidR="001B64E4" w:rsidRPr="00532691" w:rsidTr="001B64E4">
        <w:tc>
          <w:tcPr>
            <w:tcW w:w="4957" w:type="dxa"/>
            <w:hideMark/>
          </w:tcPr>
          <w:p w:rsidR="001B64E4" w:rsidRPr="001B64E4" w:rsidRDefault="001B64E4" w:rsidP="001B64E4">
            <w:pPr>
              <w:spacing w:line="276" w:lineRule="auto"/>
              <w:jc w:val="both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Documento jurídico que acredite la propiedad o la posesión del predio donde instalará el proyecto.</w:t>
            </w:r>
          </w:p>
        </w:tc>
        <w:tc>
          <w:tcPr>
            <w:tcW w:w="5103" w:type="dxa"/>
            <w:gridSpan w:val="2"/>
          </w:tcPr>
          <w:p w:rsidR="001B64E4" w:rsidRPr="001B64E4" w:rsidRDefault="001B64E4" w:rsidP="001B64E4">
            <w:pPr>
              <w:spacing w:line="276" w:lineRule="auto"/>
              <w:jc w:val="both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*</w:t>
            </w:r>
            <w:r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El contrato de arrendamiento con el Sr Angulo Montoya Silverio tiene erróneo el nombre del beneficiario quien es el arrendatario. Dice Félix Rodríguez Armida, lo que correspondería a otra persona física, con CURP Y RFC diferente.</w:t>
            </w:r>
          </w:p>
        </w:tc>
      </w:tr>
      <w:tr w:rsidR="001B64E4" w:rsidRPr="00532691" w:rsidTr="001B64E4">
        <w:tc>
          <w:tcPr>
            <w:tcW w:w="4957" w:type="dxa"/>
            <w:hideMark/>
          </w:tcPr>
          <w:p w:rsidR="001B64E4" w:rsidRPr="001B64E4" w:rsidRDefault="001B64E4" w:rsidP="001B64E4">
            <w:pPr>
              <w:spacing w:line="276" w:lineRule="auto"/>
              <w:jc w:val="both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Listado de productores integrantes de la persona moral solicitante.</w:t>
            </w:r>
          </w:p>
        </w:tc>
        <w:tc>
          <w:tcPr>
            <w:tcW w:w="5103" w:type="dxa"/>
            <w:gridSpan w:val="2"/>
            <w:hideMark/>
          </w:tcPr>
          <w:p w:rsidR="001B64E4" w:rsidRPr="001B64E4" w:rsidRDefault="001B64E4" w:rsidP="001B64E4">
            <w:pPr>
              <w:spacing w:line="276" w:lineRule="auto"/>
              <w:jc w:val="both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*</w:t>
            </w:r>
            <w:r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La firma del representante legal no corresponde a la de su INE.</w:t>
            </w:r>
            <w:r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br/>
            </w:r>
            <w:r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*</w:t>
            </w:r>
            <w:r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Asimismo, las firmas de Ramón Ahumada Espi</w:t>
            </w:r>
            <w:r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noza, Mariela Ahumada Espinoza y</w:t>
            </w:r>
            <w:r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 xml:space="preserve"> Marina Ahumada Espinoza, difieren con las plasmadas en las identificaciones oficiales</w:t>
            </w:r>
          </w:p>
        </w:tc>
      </w:tr>
      <w:tr w:rsidR="001B64E4" w:rsidRPr="00532691" w:rsidTr="001B64E4">
        <w:tc>
          <w:tcPr>
            <w:tcW w:w="4957" w:type="dxa"/>
            <w:hideMark/>
          </w:tcPr>
          <w:p w:rsidR="001B64E4" w:rsidRPr="001B64E4" w:rsidRDefault="001B64E4" w:rsidP="001B64E4">
            <w:pPr>
              <w:spacing w:line="276" w:lineRule="auto"/>
              <w:jc w:val="both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Recibo o factura original del beneficiario que ampare el monto del incentivo y que cumple con los requisitos fiscales.</w:t>
            </w:r>
          </w:p>
        </w:tc>
        <w:tc>
          <w:tcPr>
            <w:tcW w:w="5103" w:type="dxa"/>
            <w:gridSpan w:val="2"/>
            <w:hideMark/>
          </w:tcPr>
          <w:p w:rsidR="001B64E4" w:rsidRPr="001B64E4" w:rsidRDefault="00F95A1D" w:rsidP="001B64E4">
            <w:pPr>
              <w:spacing w:line="276" w:lineRule="auto"/>
              <w:jc w:val="both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*</w:t>
            </w:r>
            <w:r w:rsidR="001B64E4"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No se encontró el recibo fiscal, en su  lugar se encontró recibo simple, de acuerdo a lo indicado en el art. 119 II K</w:t>
            </w:r>
            <w:r w:rsid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)</w:t>
            </w:r>
            <w:r w:rsidR="001B64E4"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 xml:space="preserve"> de </w:t>
            </w:r>
            <w:r w:rsid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Las Reglas de Operación de Fomento a l</w:t>
            </w:r>
            <w:r w:rsidR="001B64E4"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a Agricultura</w:t>
            </w:r>
          </w:p>
        </w:tc>
      </w:tr>
      <w:tr w:rsidR="001B64E4" w:rsidRPr="00532691" w:rsidTr="001B64E4">
        <w:tc>
          <w:tcPr>
            <w:tcW w:w="4957" w:type="dxa"/>
            <w:hideMark/>
          </w:tcPr>
          <w:p w:rsidR="001B64E4" w:rsidRPr="001B64E4" w:rsidRDefault="001B64E4" w:rsidP="001B64E4">
            <w:pPr>
              <w:spacing w:line="276" w:lineRule="auto"/>
              <w:jc w:val="both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Visita de verificación final.</w:t>
            </w:r>
          </w:p>
        </w:tc>
        <w:tc>
          <w:tcPr>
            <w:tcW w:w="5103" w:type="dxa"/>
            <w:gridSpan w:val="2"/>
            <w:hideMark/>
          </w:tcPr>
          <w:p w:rsidR="001B64E4" w:rsidRPr="001B64E4" w:rsidRDefault="00F95A1D" w:rsidP="001B64E4">
            <w:pPr>
              <w:spacing w:line="276" w:lineRule="auto"/>
              <w:jc w:val="both"/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</w:pPr>
            <w:r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*</w:t>
            </w:r>
            <w:r w:rsidR="001B64E4" w:rsidRPr="001B64E4">
              <w:rPr>
                <w:rFonts w:ascii="Adobe Caslon Pro" w:hAnsi="Adobe Caslon Pro" w:cs="Arial"/>
                <w:sz w:val="18"/>
                <w:szCs w:val="18"/>
                <w:lang w:val="es-ES_tradnl" w:eastAsia="es-ES"/>
              </w:rPr>
              <w:t>Contiene error, ya que tiene  fecha de suscripción del 01-feb-2017.</w:t>
            </w:r>
          </w:p>
        </w:tc>
      </w:tr>
    </w:tbl>
    <w:p w:rsidR="00532691" w:rsidRPr="00532691" w:rsidRDefault="00532691" w:rsidP="00532691">
      <w:pPr>
        <w:spacing w:after="0" w:line="240" w:lineRule="auto"/>
        <w:jc w:val="both"/>
        <w:rPr>
          <w:rFonts w:ascii="Adobe Caslon Pro" w:eastAsia="MS Mincho" w:hAnsi="Adobe Caslon Pro" w:cs="Arial"/>
          <w:sz w:val="10"/>
          <w:szCs w:val="10"/>
          <w:lang w:val="es-ES_tradnl" w:eastAsia="es-ES"/>
        </w:rPr>
      </w:pPr>
    </w:p>
    <w:p w:rsidR="00532691" w:rsidRPr="00532691" w:rsidRDefault="00532691" w:rsidP="00532691">
      <w:pPr>
        <w:spacing w:after="0" w:line="276" w:lineRule="auto"/>
        <w:jc w:val="both"/>
        <w:rPr>
          <w:rFonts w:ascii="Adobe Caslon Pro" w:eastAsia="MS Mincho" w:hAnsi="Adobe Caslon Pro" w:cs="Arial"/>
          <w:sz w:val="20"/>
          <w:szCs w:val="24"/>
          <w:lang w:val="es-ES_tradnl" w:eastAsia="es-ES"/>
        </w:rPr>
      </w:pPr>
      <w:bookmarkStart w:id="0" w:name="_GoBack"/>
      <w:bookmarkEnd w:id="0"/>
    </w:p>
    <w:p w:rsidR="001C110B" w:rsidRPr="00532691" w:rsidRDefault="001C110B" w:rsidP="001C110B">
      <w:pPr>
        <w:spacing w:before="240" w:line="360" w:lineRule="auto"/>
        <w:jc w:val="both"/>
        <w:rPr>
          <w:rFonts w:ascii="Adobe Caslon Pro" w:eastAsia="MS Mincho" w:hAnsi="Adobe Caslon Pro" w:cs="Arial"/>
          <w:sz w:val="20"/>
          <w:szCs w:val="24"/>
          <w:lang w:val="es-ES_tradnl" w:eastAsia="es-ES"/>
        </w:rPr>
      </w:pPr>
      <w:r w:rsidRPr="00532691">
        <w:rPr>
          <w:rFonts w:ascii="Adobe Caslon Pro" w:eastAsia="MS Mincho" w:hAnsi="Adobe Caslon Pro" w:cs="Arial"/>
          <w:sz w:val="20"/>
          <w:szCs w:val="24"/>
          <w:lang w:val="es-ES_tradnl" w:eastAsia="es-ES"/>
        </w:rPr>
        <w:t xml:space="preserve">El estatus de las áreas de oportunidad, se dan a conocer conforme a lo dispuesto en los numerales </w:t>
      </w:r>
      <w:r w:rsidRPr="00532691">
        <w:rPr>
          <w:rFonts w:ascii="Adobe Caslon Pro" w:eastAsia="MS Mincho" w:hAnsi="Adobe Caslon Pro" w:cs="Arial"/>
          <w:b/>
          <w:sz w:val="20"/>
          <w:szCs w:val="24"/>
          <w:lang w:val="es-ES_tradnl" w:eastAsia="es-ES"/>
        </w:rPr>
        <w:t xml:space="preserve">5.4, 5.7 y 5.11 </w:t>
      </w:r>
      <w:r w:rsidRPr="00532691">
        <w:rPr>
          <w:rFonts w:ascii="Adobe Caslon Pro" w:eastAsia="MS Mincho" w:hAnsi="Adobe Caslon Pro" w:cs="Arial"/>
          <w:sz w:val="20"/>
          <w:szCs w:val="24"/>
          <w:lang w:val="es-ES_tradnl" w:eastAsia="es-ES"/>
        </w:rPr>
        <w:t xml:space="preserve">del apartado </w:t>
      </w:r>
      <w:r w:rsidRPr="00532691">
        <w:rPr>
          <w:rFonts w:ascii="Adobe Caslon Pro" w:eastAsia="MS Mincho" w:hAnsi="Adobe Caslon Pro" w:cs="Arial"/>
          <w:b/>
          <w:sz w:val="20"/>
          <w:szCs w:val="24"/>
          <w:lang w:val="es-ES_tradnl" w:eastAsia="es-ES"/>
        </w:rPr>
        <w:t xml:space="preserve">5. Políticas; 6.7, 6.13, 6.18, y 6.23 </w:t>
      </w:r>
      <w:r w:rsidRPr="00532691">
        <w:rPr>
          <w:rFonts w:ascii="Adobe Caslon Pro" w:eastAsia="MS Mincho" w:hAnsi="Adobe Caslon Pro" w:cs="Arial"/>
          <w:sz w:val="20"/>
          <w:szCs w:val="24"/>
          <w:lang w:val="es-ES_tradnl" w:eastAsia="es-ES"/>
        </w:rPr>
        <w:t xml:space="preserve">del apartado </w:t>
      </w:r>
      <w:r w:rsidRPr="00532691">
        <w:rPr>
          <w:rFonts w:ascii="Adobe Caslon Pro" w:eastAsia="MS Mincho" w:hAnsi="Adobe Caslon Pro" w:cs="Arial"/>
          <w:b/>
          <w:sz w:val="20"/>
          <w:szCs w:val="24"/>
          <w:lang w:val="es-ES_tradnl" w:eastAsia="es-ES"/>
        </w:rPr>
        <w:t>6. Responsabilidades</w:t>
      </w:r>
      <w:r w:rsidRPr="00532691">
        <w:rPr>
          <w:rFonts w:ascii="Adobe Caslon Pro" w:eastAsia="MS Mincho" w:hAnsi="Adobe Caslon Pro" w:cs="Arial"/>
          <w:sz w:val="20"/>
          <w:szCs w:val="24"/>
          <w:lang w:val="es-ES_tradnl" w:eastAsia="es-ES"/>
        </w:rPr>
        <w:t xml:space="preserve"> del Manual de Políticas y Procedimientos para el Seguimiento Normativo y la Revisión de Expedientes, de los Programas Operados por la Dirección General Adjunta de Promoción de Negocios y Coordinación Regional; inciso </w:t>
      </w:r>
      <w:r w:rsidRPr="00532691">
        <w:rPr>
          <w:rFonts w:ascii="Adobe Caslon Pro" w:eastAsia="MS Mincho" w:hAnsi="Adobe Caslon Pro" w:cs="Arial"/>
          <w:b/>
          <w:sz w:val="20"/>
          <w:szCs w:val="24"/>
          <w:lang w:val="es-ES_tradnl" w:eastAsia="es-ES"/>
        </w:rPr>
        <w:t>j)</w:t>
      </w:r>
      <w:r w:rsidRPr="00532691">
        <w:rPr>
          <w:rFonts w:ascii="Adobe Caslon Pro" w:eastAsia="MS Mincho" w:hAnsi="Adobe Caslon Pro" w:cs="Arial"/>
          <w:sz w:val="20"/>
          <w:szCs w:val="24"/>
          <w:lang w:val="es-ES_tradnl" w:eastAsia="es-ES"/>
        </w:rPr>
        <w:t xml:space="preserve"> numeral </w:t>
      </w:r>
      <w:r w:rsidRPr="00532691">
        <w:rPr>
          <w:rFonts w:ascii="Adobe Caslon Pro" w:eastAsia="MS Mincho" w:hAnsi="Adobe Caslon Pro" w:cs="Arial"/>
          <w:b/>
          <w:sz w:val="20"/>
          <w:szCs w:val="24"/>
          <w:lang w:val="es-ES_tradnl" w:eastAsia="es-ES"/>
        </w:rPr>
        <w:t>4</w:t>
      </w:r>
      <w:r w:rsidRPr="00532691">
        <w:rPr>
          <w:rFonts w:ascii="Adobe Caslon Pro" w:eastAsia="MS Mincho" w:hAnsi="Adobe Caslon Pro" w:cs="Arial"/>
          <w:sz w:val="20"/>
          <w:szCs w:val="24"/>
          <w:lang w:val="es-ES_tradnl" w:eastAsia="es-ES"/>
        </w:rPr>
        <w:t xml:space="preserve"> del apartado </w:t>
      </w:r>
      <w:r w:rsidRPr="00532691">
        <w:rPr>
          <w:rFonts w:ascii="Adobe Caslon Pro" w:eastAsia="MS Mincho" w:hAnsi="Adobe Caslon Pro" w:cs="Arial"/>
          <w:b/>
          <w:sz w:val="20"/>
          <w:szCs w:val="24"/>
          <w:lang w:val="es-ES_tradnl" w:eastAsia="es-ES"/>
        </w:rPr>
        <w:t>6. Responsabilidades</w:t>
      </w:r>
      <w:r w:rsidRPr="00532691">
        <w:rPr>
          <w:rFonts w:ascii="Adobe Caslon Pro" w:eastAsia="MS Mincho" w:hAnsi="Adobe Caslon Pro" w:cs="Arial"/>
          <w:sz w:val="20"/>
          <w:szCs w:val="24"/>
          <w:lang w:val="es-ES_tradnl" w:eastAsia="es-ES"/>
        </w:rPr>
        <w:t>, del Manual de Procedimientos de Operación de los componentes de Mezcla de Recursos, a fin de que cuente con elementos que le permitan dar seguimiento a las áreas de oportunidad determinadas, o en su caso, determinar las acciones que se consideren procedentes.</w:t>
      </w:r>
    </w:p>
    <w:p w:rsidR="001D243D" w:rsidRDefault="009644DC"/>
    <w:sectPr w:rsidR="001D243D" w:rsidSect="008D221F">
      <w:headerReference w:type="default" r:id="rId7"/>
      <w:footerReference w:type="even" r:id="rId8"/>
      <w:footerReference w:type="default" r:id="rId9"/>
      <w:pgSz w:w="12240" w:h="15840"/>
      <w:pgMar w:top="2552" w:right="758" w:bottom="1276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44DC" w:rsidRDefault="009644DC">
      <w:pPr>
        <w:spacing w:after="0" w:line="240" w:lineRule="auto"/>
      </w:pPr>
      <w:r>
        <w:separator/>
      </w:r>
    </w:p>
  </w:endnote>
  <w:endnote w:type="continuationSeparator" w:id="0">
    <w:p w:rsidR="009644DC" w:rsidRDefault="00964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dobe Caslon Pro">
    <w:altName w:val="Georgia"/>
    <w:charset w:val="00"/>
    <w:family w:val="roman"/>
    <w:pitch w:val="variable"/>
    <w:sig w:usb0="800000AF" w:usb1="5000205B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392E" w:rsidRDefault="00520C3F" w:rsidP="003C7F95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1392E" w:rsidRDefault="009644DC" w:rsidP="0001392E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392E" w:rsidRPr="0001392E" w:rsidRDefault="00520C3F" w:rsidP="003C7F95">
    <w:pPr>
      <w:pStyle w:val="Piedepgina"/>
      <w:framePr w:wrap="around" w:vAnchor="text" w:hAnchor="margin" w:xAlign="right" w:y="1"/>
      <w:rPr>
        <w:rStyle w:val="Nmerodepgina"/>
        <w:sz w:val="16"/>
        <w:szCs w:val="16"/>
      </w:rPr>
    </w:pPr>
    <w:r w:rsidRPr="0001392E">
      <w:rPr>
        <w:rStyle w:val="Nmerodepgina"/>
        <w:sz w:val="16"/>
        <w:szCs w:val="16"/>
      </w:rPr>
      <w:fldChar w:fldCharType="begin"/>
    </w:r>
    <w:r w:rsidRPr="0001392E">
      <w:rPr>
        <w:rStyle w:val="Nmerodepgina"/>
        <w:sz w:val="16"/>
        <w:szCs w:val="16"/>
      </w:rPr>
      <w:instrText xml:space="preserve">PAGE  </w:instrText>
    </w:r>
    <w:r w:rsidRPr="0001392E">
      <w:rPr>
        <w:rStyle w:val="Nmerodepgina"/>
        <w:sz w:val="16"/>
        <w:szCs w:val="16"/>
      </w:rPr>
      <w:fldChar w:fldCharType="separate"/>
    </w:r>
    <w:r w:rsidR="001C110B">
      <w:rPr>
        <w:rStyle w:val="Nmerodepgina"/>
        <w:noProof/>
        <w:sz w:val="16"/>
        <w:szCs w:val="16"/>
      </w:rPr>
      <w:t>2</w:t>
    </w:r>
    <w:r w:rsidRPr="0001392E">
      <w:rPr>
        <w:rStyle w:val="Nmerodepgina"/>
        <w:sz w:val="16"/>
        <w:szCs w:val="16"/>
      </w:rPr>
      <w:fldChar w:fldCharType="end"/>
    </w:r>
  </w:p>
  <w:p w:rsidR="0001392E" w:rsidRDefault="009644DC" w:rsidP="0001392E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44DC" w:rsidRDefault="009644DC">
      <w:pPr>
        <w:spacing w:after="0" w:line="240" w:lineRule="auto"/>
      </w:pPr>
      <w:r>
        <w:separator/>
      </w:r>
    </w:p>
  </w:footnote>
  <w:footnote w:type="continuationSeparator" w:id="0">
    <w:p w:rsidR="009644DC" w:rsidRDefault="009644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0556" w:rsidRDefault="00520C3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8BCA19" wp14:editId="6BD50CAD">
          <wp:simplePos x="0" y="0"/>
          <wp:positionH relativeFrom="page">
            <wp:align>right</wp:align>
          </wp:positionH>
          <wp:positionV relativeFrom="paragraph">
            <wp:posOffset>-432591</wp:posOffset>
          </wp:positionV>
          <wp:extent cx="7774656" cy="10125418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ICIO_CORPORATIVO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4656" cy="101254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76162"/>
    <w:multiLevelType w:val="hybridMultilevel"/>
    <w:tmpl w:val="EA9E6DC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661092"/>
    <w:multiLevelType w:val="hybridMultilevel"/>
    <w:tmpl w:val="F020C37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691"/>
    <w:rsid w:val="001B64E4"/>
    <w:rsid w:val="001C110B"/>
    <w:rsid w:val="00276FA5"/>
    <w:rsid w:val="002A59A9"/>
    <w:rsid w:val="00520C3F"/>
    <w:rsid w:val="00532691"/>
    <w:rsid w:val="006118D8"/>
    <w:rsid w:val="009644DC"/>
    <w:rsid w:val="00C30005"/>
    <w:rsid w:val="00E205DF"/>
    <w:rsid w:val="00F95A1D"/>
    <w:rsid w:val="00FF5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E9E9B"/>
  <w15:chartTrackingRefBased/>
  <w15:docId w15:val="{8A1FAA93-5598-4900-A7A0-EEBB2D69A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53269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32691"/>
  </w:style>
  <w:style w:type="paragraph" w:styleId="Piedepgina">
    <w:name w:val="footer"/>
    <w:basedOn w:val="Normal"/>
    <w:link w:val="PiedepginaCar"/>
    <w:uiPriority w:val="99"/>
    <w:semiHidden/>
    <w:unhideWhenUsed/>
    <w:rsid w:val="0053269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32691"/>
  </w:style>
  <w:style w:type="table" w:styleId="Tablaconcuadrcula">
    <w:name w:val="Table Grid"/>
    <w:basedOn w:val="Tablanormal"/>
    <w:rsid w:val="00532691"/>
    <w:pPr>
      <w:spacing w:after="0" w:line="240" w:lineRule="auto"/>
    </w:pPr>
    <w:rPr>
      <w:rFonts w:ascii="Cambria" w:eastAsia="MS Mincho" w:hAnsi="Cambria" w:cs="Times New Roman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uiPriority w:val="99"/>
    <w:semiHidden/>
    <w:unhideWhenUsed/>
    <w:rsid w:val="00532691"/>
  </w:style>
  <w:style w:type="paragraph" w:styleId="Prrafodelista">
    <w:name w:val="List Paragraph"/>
    <w:basedOn w:val="Normal"/>
    <w:uiPriority w:val="34"/>
    <w:qFormat/>
    <w:rsid w:val="005326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652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Itzayana Soriano Hernández</dc:creator>
  <cp:keywords/>
  <dc:description/>
  <cp:lastModifiedBy>karen Itzayana Soriano Hernández</cp:lastModifiedBy>
  <cp:revision>3</cp:revision>
  <dcterms:created xsi:type="dcterms:W3CDTF">2018-09-10T19:05:00Z</dcterms:created>
  <dcterms:modified xsi:type="dcterms:W3CDTF">2018-09-10T21:04:00Z</dcterms:modified>
</cp:coreProperties>
</file>