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94" w:rsidRDefault="00423494" w:rsidP="00423494">
      <w:pPr>
        <w:spacing w:line="276" w:lineRule="auto"/>
        <w:jc w:val="center"/>
        <w:rPr>
          <w:rFonts w:ascii="Adobe Caslon Pro" w:hAnsi="Adobe Caslon Pro" w:cs="Arial"/>
          <w:b/>
        </w:rPr>
      </w:pPr>
      <w:r>
        <w:rPr>
          <w:rFonts w:ascii="Adobe Caslon Pro" w:hAnsi="Adobe Caslon Pro" w:cs="Arial"/>
          <w:b/>
        </w:rPr>
        <w:t>Gerencia de Seguimiento Normativo de los Programas de Apoyo</w:t>
      </w:r>
    </w:p>
    <w:p w:rsidR="00423494" w:rsidRDefault="00423494" w:rsidP="00423494">
      <w:pPr>
        <w:spacing w:line="276" w:lineRule="auto"/>
        <w:jc w:val="center"/>
        <w:rPr>
          <w:rFonts w:ascii="Adobe Caslon Pro" w:hAnsi="Adobe Caslon Pro" w:cs="Arial"/>
          <w:b/>
        </w:rPr>
      </w:pPr>
      <w:r>
        <w:rPr>
          <w:rFonts w:ascii="Adobe Caslon Pro" w:hAnsi="Adobe Caslon Pro" w:cs="Arial"/>
          <w:b/>
        </w:rPr>
        <w:t>Resumen Ejecutivo de Expedientes Revisados de los Programas Externos.</w:t>
      </w:r>
    </w:p>
    <w:p w:rsidR="00423494" w:rsidRDefault="00423494" w:rsidP="00423494">
      <w:pPr>
        <w:spacing w:line="276" w:lineRule="auto"/>
        <w:jc w:val="center"/>
        <w:rPr>
          <w:rFonts w:ascii="Adobe Caslon Pro" w:hAnsi="Adobe Caslon Pro" w:cs="Arial"/>
          <w:b/>
        </w:rPr>
      </w:pPr>
      <w:r>
        <w:rPr>
          <w:rFonts w:ascii="Adobe Caslon Pro" w:hAnsi="Adobe Caslon Pro" w:cs="Arial"/>
          <w:b/>
        </w:rPr>
        <w:t>Coordinación Regional Centro Occidente</w:t>
      </w:r>
    </w:p>
    <w:p w:rsidR="00423494" w:rsidRDefault="00423494" w:rsidP="00423494">
      <w:pPr>
        <w:spacing w:line="276" w:lineRule="auto"/>
        <w:jc w:val="center"/>
        <w:rPr>
          <w:rFonts w:ascii="Adobe Caslon Pro" w:hAnsi="Adobe Caslon Pro" w:cs="Arial"/>
          <w:b/>
        </w:rPr>
      </w:pPr>
    </w:p>
    <w:p w:rsidR="00880FDF" w:rsidRDefault="00880FDF" w:rsidP="00423494">
      <w:pPr>
        <w:spacing w:line="276" w:lineRule="auto"/>
        <w:jc w:val="center"/>
        <w:rPr>
          <w:rFonts w:ascii="Adobe Caslon Pro" w:hAnsi="Adobe Caslon Pro" w:cs="Arial"/>
          <w:b/>
        </w:rPr>
      </w:pPr>
    </w:p>
    <w:p w:rsidR="00423494" w:rsidRDefault="00423494" w:rsidP="00423494">
      <w:pPr>
        <w:spacing w:line="276" w:lineRule="auto"/>
        <w:jc w:val="both"/>
        <w:rPr>
          <w:rFonts w:ascii="Adobe Caslon Pro" w:hAnsi="Adobe Caslon Pro" w:cs="Arial"/>
          <w:sz w:val="22"/>
        </w:rPr>
      </w:pPr>
      <w:r>
        <w:rPr>
          <w:rFonts w:ascii="Adobe Caslon Pro" w:hAnsi="Adobe Caslon Pro" w:cs="Arial"/>
        </w:rPr>
        <w:t>Derivado de las funciones encomendadas a la GSNPA, de revisar los expedientes de las solicitudes de apoyo que hubieran recibido recursos correspondientes a los Programas de Apoyo, Internos y Externos, a cargo de la Dirección General Adjunta de Promoción de Negocios y Coordinación Regional; para realizar un análisis y evaluación de los procesos establecidos por la normatividad que los rige; y asimismo coordinar la elaboración de las acciones de mejora que fortalezcan el control interno de los procesos de entrega, supervisión y comprobación de los recursos de los Programas antes mencionados.</w:t>
      </w:r>
    </w:p>
    <w:p w:rsidR="00423494" w:rsidRDefault="00423494" w:rsidP="00423494">
      <w:pPr>
        <w:spacing w:line="276" w:lineRule="auto"/>
        <w:jc w:val="both"/>
        <w:rPr>
          <w:rFonts w:ascii="Adobe Caslon Pro" w:hAnsi="Adobe Caslon Pro" w:cs="Arial"/>
        </w:rPr>
      </w:pPr>
    </w:p>
    <w:p w:rsidR="00423494" w:rsidRDefault="00423494" w:rsidP="00423494">
      <w:pPr>
        <w:spacing w:line="276" w:lineRule="auto"/>
        <w:jc w:val="both"/>
        <w:rPr>
          <w:rFonts w:ascii="Adobe Caslon Pro" w:hAnsi="Adobe Caslon Pro" w:cs="Arial"/>
        </w:rPr>
      </w:pPr>
      <w:r>
        <w:rPr>
          <w:rFonts w:ascii="Adobe Caslon Pro" w:hAnsi="Adobe Caslon Pro" w:cs="Arial"/>
        </w:rPr>
        <w:t xml:space="preserve"> Conforme al Programa de Trabajo de 2018, para revisar los expedientes correspondientes al ejercicio 2017 y con el objeto de incrementar la eficiencia y eficacia en su gestión, dando certeza del cumplimiento a la normativa aplicable vigente a los programas internos y externos; se llevó a cabo la evaluación de los controles internos de los procesos de operación para el otorgamiento de los apoyos internos y externos.</w:t>
      </w:r>
    </w:p>
    <w:p w:rsidR="00423494" w:rsidRDefault="00423494" w:rsidP="00423494">
      <w:pPr>
        <w:spacing w:line="276" w:lineRule="auto"/>
        <w:jc w:val="both"/>
        <w:rPr>
          <w:rFonts w:ascii="Adobe Caslon Pro" w:hAnsi="Adobe Caslon Pro" w:cs="Arial"/>
        </w:rPr>
      </w:pPr>
      <w:r>
        <w:rPr>
          <w:rFonts w:ascii="Adobe Caslon Pro" w:hAnsi="Adobe Caslon Pro" w:cs="Arial"/>
          <w:highlight w:val="yellow"/>
        </w:rPr>
        <w:t>OFICIO</w:t>
      </w:r>
    </w:p>
    <w:p w:rsidR="00423494" w:rsidRDefault="00423494" w:rsidP="00423494">
      <w:pPr>
        <w:spacing w:line="276" w:lineRule="auto"/>
        <w:jc w:val="both"/>
        <w:rPr>
          <w:rFonts w:ascii="Adobe Caslon Pro" w:hAnsi="Adobe Caslon Pro" w:cs="Arial"/>
        </w:rPr>
      </w:pPr>
      <w:r>
        <w:rPr>
          <w:rFonts w:ascii="Adobe Caslon Pro" w:hAnsi="Adobe Caslon Pro" w:cs="Arial"/>
        </w:rPr>
        <w:t xml:space="preserve"> </w:t>
      </w:r>
    </w:p>
    <w:p w:rsidR="00423494" w:rsidRDefault="00423494" w:rsidP="00423494">
      <w:pPr>
        <w:spacing w:line="276" w:lineRule="auto"/>
        <w:jc w:val="both"/>
        <w:rPr>
          <w:rFonts w:ascii="Adobe Caslon Pro" w:hAnsi="Adobe Caslon Pro" w:cs="Arial"/>
        </w:rPr>
      </w:pPr>
      <w:r w:rsidRPr="00423494">
        <w:rPr>
          <w:rFonts w:ascii="Adobe Caslon Pro" w:hAnsi="Adobe Caslon Pro" w:cs="Arial"/>
        </w:rPr>
        <w:t>De los 1,109 expedientes integrados por concepto de los Programas Externos que fueron ejecutados en las 80 agencias, correspondientes al ejercicio de 2017, se seleccionaron 38 expedientes; para su revisión, con la herramienta de “Muestra estadística y aleatoria”, el cual nos da un nivel de confianza del 90%, una Probabilidad de error del 4% y Precisión del 5%; operados en el ejercicio 2017.</w:t>
      </w:r>
    </w:p>
    <w:p w:rsidR="00423494" w:rsidRDefault="00423494" w:rsidP="00423494">
      <w:pPr>
        <w:spacing w:line="276" w:lineRule="auto"/>
        <w:jc w:val="both"/>
        <w:rPr>
          <w:rFonts w:ascii="Adobe Caslon Pro" w:hAnsi="Adobe Caslon Pro" w:cs="Arial"/>
        </w:rPr>
      </w:pPr>
    </w:p>
    <w:p w:rsidR="00423494" w:rsidRDefault="00423494" w:rsidP="00423494">
      <w:pPr>
        <w:spacing w:line="276" w:lineRule="auto"/>
        <w:jc w:val="both"/>
        <w:rPr>
          <w:rFonts w:ascii="Adobe Caslon Pro" w:hAnsi="Adobe Caslon Pro" w:cs="Arial"/>
        </w:rPr>
      </w:pPr>
      <w:r>
        <w:rPr>
          <w:rFonts w:ascii="Adobe Caslon Pro" w:hAnsi="Adobe Caslon Pro" w:cs="Arial"/>
        </w:rPr>
        <w:t xml:space="preserve">De la revisión de 4 expedientes integrados por </w:t>
      </w:r>
      <w:r w:rsidR="000541B9">
        <w:rPr>
          <w:rFonts w:ascii="Adobe Caslon Pro" w:hAnsi="Adobe Caslon Pro" w:cs="Arial"/>
        </w:rPr>
        <w:t>los apoyos otorgados mediante los</w:t>
      </w:r>
      <w:r>
        <w:rPr>
          <w:rFonts w:ascii="Adobe Caslon Pro" w:hAnsi="Adobe Caslon Pro" w:cs="Arial"/>
        </w:rPr>
        <w:t xml:space="preserve"> programa</w:t>
      </w:r>
      <w:r w:rsidR="000541B9">
        <w:rPr>
          <w:rFonts w:ascii="Adobe Caslon Pro" w:hAnsi="Adobe Caslon Pro" w:cs="Arial"/>
        </w:rPr>
        <w:t>s</w:t>
      </w:r>
      <w:r>
        <w:rPr>
          <w:rFonts w:ascii="Adobe Caslon Pro" w:hAnsi="Adobe Caslon Pro" w:cs="Arial"/>
        </w:rPr>
        <w:t xml:space="preserve"> de:</w:t>
      </w:r>
    </w:p>
    <w:p w:rsidR="009D3F62" w:rsidRDefault="009D3F62" w:rsidP="00423494">
      <w:pPr>
        <w:spacing w:line="276" w:lineRule="auto"/>
        <w:jc w:val="both"/>
        <w:rPr>
          <w:rFonts w:ascii="Adobe Caslon Pro" w:hAnsi="Adobe Caslon Pro" w:cs="Arial"/>
        </w:rPr>
      </w:pPr>
    </w:p>
    <w:p w:rsidR="00423494" w:rsidRDefault="00423494" w:rsidP="0042349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dobe Caslon Pro" w:hAnsi="Adobe Caslon Pro" w:cs="Arial"/>
        </w:rPr>
      </w:pPr>
      <w:r w:rsidRPr="00423494">
        <w:rPr>
          <w:rFonts w:ascii="Adobe Caslon Pro" w:hAnsi="Adobe Caslon Pro" w:cs="Arial"/>
        </w:rPr>
        <w:t xml:space="preserve">Programa de </w:t>
      </w:r>
      <w:r>
        <w:rPr>
          <w:rFonts w:ascii="Adobe Caslon Pro" w:hAnsi="Adobe Caslon Pro" w:cs="Arial"/>
        </w:rPr>
        <w:t>Productividad y Competitividad Agroalimentaria.</w:t>
      </w:r>
    </w:p>
    <w:p w:rsidR="00423494" w:rsidRPr="00423494" w:rsidRDefault="00423494" w:rsidP="0042349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dobe Caslon Pro" w:hAnsi="Adobe Caslon Pro" w:cs="Arial"/>
        </w:rPr>
      </w:pPr>
      <w:r>
        <w:rPr>
          <w:rFonts w:ascii="Adobe Caslon Pro" w:hAnsi="Adobe Caslon Pro" w:cs="Arial"/>
        </w:rPr>
        <w:t>Programa de Fomento a la Agricultura</w:t>
      </w:r>
      <w:r w:rsidRPr="00423494">
        <w:rPr>
          <w:rFonts w:ascii="Adobe Caslon Pro" w:hAnsi="Adobe Caslon Pro" w:cs="Arial"/>
        </w:rPr>
        <w:t>.</w:t>
      </w:r>
    </w:p>
    <w:p w:rsidR="00423494" w:rsidRPr="00423494" w:rsidRDefault="00423494" w:rsidP="0042349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dobe Caslon Pro" w:hAnsi="Adobe Caslon Pro" w:cs="Arial"/>
        </w:rPr>
      </w:pPr>
      <w:r>
        <w:rPr>
          <w:rFonts w:ascii="Adobe Caslon Pro" w:hAnsi="Adobe Caslon Pro" w:cs="Arial"/>
        </w:rPr>
        <w:t>Fondo para la Transición Energética.</w:t>
      </w:r>
    </w:p>
    <w:p w:rsidR="00423494" w:rsidRDefault="00423494" w:rsidP="00423494">
      <w:pPr>
        <w:spacing w:line="276" w:lineRule="auto"/>
        <w:jc w:val="both"/>
        <w:rPr>
          <w:rFonts w:ascii="Adobe Caslon Pro" w:hAnsi="Adobe Caslon Pro" w:cs="Arial"/>
        </w:rPr>
      </w:pPr>
    </w:p>
    <w:p w:rsidR="009D3F62" w:rsidRPr="00423494" w:rsidRDefault="009D3F62" w:rsidP="00423494">
      <w:pPr>
        <w:spacing w:line="276" w:lineRule="auto"/>
        <w:jc w:val="both"/>
        <w:rPr>
          <w:rFonts w:ascii="Adobe Caslon Pro" w:hAnsi="Adobe Caslon Pro" w:cs="Arial"/>
        </w:rPr>
      </w:pPr>
    </w:p>
    <w:p w:rsidR="00423494" w:rsidRDefault="00423494" w:rsidP="00423494">
      <w:pPr>
        <w:spacing w:line="276" w:lineRule="auto"/>
        <w:jc w:val="both"/>
        <w:rPr>
          <w:rFonts w:ascii="Adobe Caslon Pro" w:hAnsi="Adobe Caslon Pro" w:cs="Arial"/>
          <w:lang w:val="es-MX"/>
        </w:rPr>
      </w:pPr>
      <w:r w:rsidRPr="00423494">
        <w:rPr>
          <w:rFonts w:ascii="Adobe Caslon Pro" w:hAnsi="Adobe Caslon Pro" w:cs="Arial"/>
          <w:lang w:val="es-MX"/>
        </w:rPr>
        <w:t xml:space="preserve">Se identificaron </w:t>
      </w:r>
      <w:r w:rsidR="00DC165A">
        <w:rPr>
          <w:rFonts w:ascii="Adobe Caslon Pro" w:hAnsi="Adobe Caslon Pro" w:cs="Arial"/>
          <w:lang w:val="es-MX"/>
        </w:rPr>
        <w:t>24</w:t>
      </w:r>
      <w:r w:rsidRPr="00423494">
        <w:rPr>
          <w:rFonts w:ascii="Adobe Caslon Pro" w:hAnsi="Adobe Caslon Pro" w:cs="Arial"/>
          <w:lang w:val="es-MX"/>
        </w:rPr>
        <w:t xml:space="preserve"> áreas</w:t>
      </w:r>
      <w:r w:rsidR="00DC165A">
        <w:rPr>
          <w:rFonts w:ascii="Adobe Caslon Pro" w:hAnsi="Adobe Caslon Pro" w:cs="Arial"/>
          <w:lang w:val="es-MX"/>
        </w:rPr>
        <w:t xml:space="preserve"> de oportunidad, de las cuales 9</w:t>
      </w:r>
      <w:r w:rsidRPr="00423494">
        <w:rPr>
          <w:rFonts w:ascii="Adobe Caslon Pro" w:hAnsi="Adobe Caslon Pro" w:cs="Arial"/>
          <w:lang w:val="es-MX"/>
        </w:rPr>
        <w:t xml:space="preserve"> están relacionadas con la </w:t>
      </w:r>
      <w:r w:rsidRPr="00423494">
        <w:rPr>
          <w:rFonts w:ascii="Adobe Caslon Pro" w:hAnsi="Adobe Caslon Pro" w:cs="Arial"/>
          <w:i/>
          <w:lang w:val="es-MX"/>
        </w:rPr>
        <w:t>solicitud</w:t>
      </w:r>
      <w:r w:rsidR="00DC165A">
        <w:rPr>
          <w:rFonts w:ascii="Adobe Caslon Pro" w:hAnsi="Adobe Caslon Pro" w:cs="Arial"/>
          <w:lang w:val="es-MX"/>
        </w:rPr>
        <w:t>, 3</w:t>
      </w:r>
      <w:r w:rsidRPr="00423494">
        <w:rPr>
          <w:rFonts w:ascii="Adobe Caslon Pro" w:hAnsi="Adobe Caslon Pro" w:cs="Arial"/>
          <w:lang w:val="es-MX"/>
        </w:rPr>
        <w:t xml:space="preserve"> con la </w:t>
      </w:r>
      <w:r w:rsidR="009D3F62" w:rsidRPr="00423494">
        <w:rPr>
          <w:rFonts w:ascii="Adobe Caslon Pro" w:hAnsi="Adobe Caslon Pro" w:cs="Arial"/>
          <w:i/>
          <w:lang w:val="es-MX"/>
        </w:rPr>
        <w:t>autorización</w:t>
      </w:r>
      <w:r w:rsidR="009D3F62">
        <w:rPr>
          <w:rFonts w:ascii="Adobe Caslon Pro" w:hAnsi="Adobe Caslon Pro" w:cs="Arial"/>
          <w:lang w:val="es-MX"/>
        </w:rPr>
        <w:t>, 10</w:t>
      </w:r>
      <w:r w:rsidRPr="00423494">
        <w:rPr>
          <w:rFonts w:ascii="Adobe Caslon Pro" w:hAnsi="Adobe Caslon Pro" w:cs="Arial"/>
          <w:lang w:val="es-MX"/>
        </w:rPr>
        <w:t xml:space="preserve"> con la </w:t>
      </w:r>
      <w:r w:rsidRPr="00423494">
        <w:rPr>
          <w:rFonts w:ascii="Adobe Caslon Pro" w:hAnsi="Adobe Caslon Pro" w:cs="Arial"/>
          <w:i/>
          <w:lang w:val="es-MX"/>
        </w:rPr>
        <w:t>comprobación</w:t>
      </w:r>
      <w:r w:rsidR="009D3F62">
        <w:rPr>
          <w:rFonts w:ascii="Adobe Caslon Pro" w:hAnsi="Adobe Caslon Pro" w:cs="Arial"/>
          <w:i/>
          <w:lang w:val="es-MX"/>
        </w:rPr>
        <w:t xml:space="preserve"> y 2</w:t>
      </w:r>
      <w:r w:rsidRPr="00423494">
        <w:rPr>
          <w:rFonts w:ascii="Adobe Caslon Pro" w:hAnsi="Adobe Caslon Pro" w:cs="Arial"/>
          <w:i/>
          <w:lang w:val="es-MX"/>
        </w:rPr>
        <w:t xml:space="preserve"> </w:t>
      </w:r>
      <w:r w:rsidRPr="00423494">
        <w:rPr>
          <w:rFonts w:ascii="Adobe Caslon Pro" w:eastAsiaTheme="minorHAnsi" w:hAnsi="Adobe Caslon Pro" w:cs="Arial"/>
          <w:lang w:val="es-MX" w:eastAsia="en-US"/>
        </w:rPr>
        <w:t xml:space="preserve">con </w:t>
      </w:r>
      <w:r w:rsidRPr="00423494">
        <w:rPr>
          <w:rFonts w:ascii="Adobe Caslon Pro" w:eastAsiaTheme="minorHAnsi" w:hAnsi="Adobe Caslon Pro" w:cs="Arial"/>
          <w:i/>
          <w:lang w:val="es-MX" w:eastAsia="en-US"/>
        </w:rPr>
        <w:t>otra</w:t>
      </w:r>
      <w:r w:rsidR="009D3F62">
        <w:rPr>
          <w:rFonts w:ascii="Adobe Caslon Pro" w:eastAsiaTheme="minorHAnsi" w:hAnsi="Adobe Caslon Pro" w:cs="Arial"/>
          <w:i/>
          <w:lang w:val="es-MX" w:eastAsia="en-US"/>
        </w:rPr>
        <w:t>s</w:t>
      </w:r>
      <w:r w:rsidRPr="00423494">
        <w:rPr>
          <w:rFonts w:ascii="Adobe Caslon Pro" w:eastAsiaTheme="minorHAnsi" w:hAnsi="Adobe Caslon Pro" w:cs="Arial"/>
          <w:i/>
          <w:lang w:val="es-MX" w:eastAsia="en-US"/>
        </w:rPr>
        <w:t xml:space="preserve"> área</w:t>
      </w:r>
      <w:r w:rsidR="009D3F62">
        <w:rPr>
          <w:rFonts w:ascii="Adobe Caslon Pro" w:eastAsiaTheme="minorHAnsi" w:hAnsi="Adobe Caslon Pro" w:cs="Arial"/>
          <w:i/>
          <w:lang w:val="es-MX" w:eastAsia="en-US"/>
        </w:rPr>
        <w:t>s</w:t>
      </w:r>
      <w:r w:rsidRPr="00423494">
        <w:rPr>
          <w:rFonts w:ascii="Adobe Caslon Pro" w:eastAsiaTheme="minorHAnsi" w:hAnsi="Adobe Caslon Pro" w:cs="Arial"/>
          <w:i/>
          <w:lang w:val="es-MX" w:eastAsia="en-US"/>
        </w:rPr>
        <w:t xml:space="preserve"> de oportunidad</w:t>
      </w:r>
      <w:r w:rsidRPr="00423494">
        <w:rPr>
          <w:rFonts w:ascii="Adobe Caslon Pro" w:hAnsi="Adobe Caslon Pro" w:cs="Arial"/>
          <w:lang w:val="es-MX"/>
        </w:rPr>
        <w:t xml:space="preserve">. </w:t>
      </w:r>
    </w:p>
    <w:p w:rsidR="009D3F62" w:rsidRDefault="009D3F62" w:rsidP="00423494">
      <w:pPr>
        <w:spacing w:line="276" w:lineRule="auto"/>
        <w:jc w:val="both"/>
        <w:rPr>
          <w:rFonts w:ascii="Adobe Caslon Pro" w:hAnsi="Adobe Caslon Pro" w:cs="Arial"/>
          <w:lang w:val="es-MX"/>
        </w:rPr>
      </w:pPr>
    </w:p>
    <w:p w:rsidR="009D3F62" w:rsidRPr="00423494" w:rsidRDefault="009D3F62" w:rsidP="00423494">
      <w:pPr>
        <w:spacing w:line="276" w:lineRule="auto"/>
        <w:jc w:val="both"/>
        <w:rPr>
          <w:rFonts w:ascii="Adobe Caslon Pro" w:hAnsi="Adobe Caslon Pro" w:cs="Arial"/>
          <w:lang w:val="es-MX"/>
        </w:rPr>
      </w:pPr>
    </w:p>
    <w:p w:rsidR="00423494" w:rsidRDefault="00423494" w:rsidP="00423494">
      <w:pPr>
        <w:spacing w:line="276" w:lineRule="auto"/>
        <w:jc w:val="both"/>
        <w:rPr>
          <w:rFonts w:ascii="Adobe Caslon Pro" w:hAnsi="Adobe Caslon Pro" w:cs="Arial"/>
        </w:rPr>
      </w:pPr>
    </w:p>
    <w:tbl>
      <w:tblPr>
        <w:tblW w:w="4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120"/>
      </w:tblGrid>
      <w:tr w:rsidR="00423494" w:rsidTr="00ED533E">
        <w:trPr>
          <w:trHeight w:val="2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23494" w:rsidRDefault="00423494" w:rsidP="00ED533E">
            <w:pPr>
              <w:jc w:val="center"/>
              <w:rPr>
                <w:rFonts w:ascii="Adobe Caslon Pro" w:hAnsi="Adobe Caslon Pro" w:cs="Arial"/>
                <w:sz w:val="20"/>
              </w:rPr>
            </w:pPr>
            <w:r>
              <w:rPr>
                <w:rFonts w:ascii="Adobe Caslon Pro" w:hAnsi="Adobe Caslon Pro" w:cs="Arial"/>
                <w:sz w:val="20"/>
              </w:rPr>
              <w:lastRenderedPageBreak/>
              <w:t xml:space="preserve">Áreas De Oportunidad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23494" w:rsidRDefault="00423494" w:rsidP="00ED533E">
            <w:pPr>
              <w:jc w:val="center"/>
              <w:rPr>
                <w:rFonts w:ascii="Adobe Caslon Pro" w:hAnsi="Adobe Caslon Pro" w:cs="Arial"/>
                <w:sz w:val="20"/>
              </w:rPr>
            </w:pPr>
            <w:r>
              <w:rPr>
                <w:rFonts w:ascii="Adobe Caslon Pro" w:hAnsi="Adobe Caslon Pro" w:cs="Arial"/>
                <w:sz w:val="20"/>
              </w:rPr>
              <w:t>SURESTE</w:t>
            </w:r>
          </w:p>
        </w:tc>
      </w:tr>
      <w:tr w:rsidR="00423494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494" w:rsidRDefault="00423494" w:rsidP="00ED533E">
            <w:pPr>
              <w:rPr>
                <w:rFonts w:ascii="Adobe Caslon Pro" w:hAnsi="Adobe Caslon Pro" w:cs="Arial"/>
                <w:sz w:val="20"/>
              </w:rPr>
            </w:pPr>
            <w:r>
              <w:rPr>
                <w:rFonts w:ascii="Adobe Caslon Pro" w:hAnsi="Adobe Caslon Pro" w:cs="Arial"/>
                <w:sz w:val="20"/>
              </w:rPr>
              <w:t xml:space="preserve">Solicitud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494" w:rsidRDefault="009D3F62" w:rsidP="00ED533E">
            <w:pPr>
              <w:jc w:val="center"/>
              <w:rPr>
                <w:rFonts w:ascii="Adobe Caslon Pro" w:hAnsi="Adobe Caslon Pro" w:cs="Arial"/>
                <w:sz w:val="20"/>
              </w:rPr>
            </w:pPr>
            <w:r>
              <w:rPr>
                <w:rFonts w:ascii="Adobe Caslon Pro" w:hAnsi="Adobe Caslon Pro" w:cs="Arial"/>
                <w:sz w:val="20"/>
              </w:rPr>
              <w:t>9</w:t>
            </w:r>
          </w:p>
        </w:tc>
      </w:tr>
      <w:tr w:rsidR="00423494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494" w:rsidRDefault="00423494" w:rsidP="00ED533E">
            <w:pPr>
              <w:rPr>
                <w:rFonts w:ascii="Adobe Caslon Pro" w:hAnsi="Adobe Caslon Pro" w:cs="Arial"/>
                <w:sz w:val="20"/>
              </w:rPr>
            </w:pPr>
            <w:r>
              <w:rPr>
                <w:rFonts w:ascii="Adobe Caslon Pro" w:hAnsi="Adobe Caslon Pro" w:cs="Arial"/>
                <w:sz w:val="20"/>
              </w:rPr>
              <w:t xml:space="preserve">Autorización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494" w:rsidRDefault="009D3F62" w:rsidP="00ED533E">
            <w:pPr>
              <w:jc w:val="center"/>
              <w:rPr>
                <w:rFonts w:ascii="Adobe Caslon Pro" w:hAnsi="Adobe Caslon Pro" w:cs="Arial"/>
                <w:sz w:val="20"/>
              </w:rPr>
            </w:pPr>
            <w:r>
              <w:rPr>
                <w:rFonts w:ascii="Adobe Caslon Pro" w:hAnsi="Adobe Caslon Pro" w:cs="Arial"/>
                <w:sz w:val="20"/>
              </w:rPr>
              <w:t>3</w:t>
            </w:r>
          </w:p>
        </w:tc>
      </w:tr>
      <w:tr w:rsidR="00423494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494" w:rsidRDefault="00423494" w:rsidP="00ED533E">
            <w:pPr>
              <w:rPr>
                <w:rFonts w:ascii="Adobe Caslon Pro" w:hAnsi="Adobe Caslon Pro" w:cs="Arial"/>
                <w:sz w:val="20"/>
              </w:rPr>
            </w:pPr>
            <w:r>
              <w:rPr>
                <w:rFonts w:ascii="Adobe Caslon Pro" w:hAnsi="Adobe Caslon Pro" w:cs="Arial"/>
                <w:sz w:val="20"/>
              </w:rPr>
              <w:t xml:space="preserve">Ministración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494" w:rsidRDefault="009D3F62" w:rsidP="00ED533E">
            <w:pPr>
              <w:jc w:val="center"/>
              <w:rPr>
                <w:rFonts w:ascii="Adobe Caslon Pro" w:hAnsi="Adobe Caslon Pro" w:cs="Arial"/>
                <w:sz w:val="20"/>
              </w:rPr>
            </w:pPr>
            <w:r>
              <w:rPr>
                <w:rFonts w:ascii="Adobe Caslon Pro" w:hAnsi="Adobe Caslon Pro" w:cs="Arial"/>
                <w:sz w:val="20"/>
              </w:rPr>
              <w:t>0</w:t>
            </w:r>
          </w:p>
        </w:tc>
      </w:tr>
      <w:tr w:rsidR="00423494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494" w:rsidRDefault="00423494" w:rsidP="00ED533E">
            <w:pPr>
              <w:rPr>
                <w:rFonts w:ascii="Adobe Caslon Pro" w:hAnsi="Adobe Caslon Pro" w:cs="Arial"/>
                <w:sz w:val="20"/>
              </w:rPr>
            </w:pPr>
            <w:r>
              <w:rPr>
                <w:rFonts w:ascii="Adobe Caslon Pro" w:hAnsi="Adobe Caslon Pro" w:cs="Arial"/>
                <w:sz w:val="20"/>
              </w:rPr>
              <w:t>Comprobación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494" w:rsidRDefault="009D3F62" w:rsidP="00ED533E">
            <w:pPr>
              <w:jc w:val="center"/>
              <w:rPr>
                <w:rFonts w:ascii="Adobe Caslon Pro" w:hAnsi="Adobe Caslon Pro" w:cs="Arial"/>
                <w:sz w:val="20"/>
              </w:rPr>
            </w:pPr>
            <w:r>
              <w:rPr>
                <w:rFonts w:ascii="Adobe Caslon Pro" w:hAnsi="Adobe Caslon Pro" w:cs="Arial"/>
                <w:sz w:val="20"/>
              </w:rPr>
              <w:t>10</w:t>
            </w:r>
          </w:p>
        </w:tc>
      </w:tr>
      <w:tr w:rsidR="00423494" w:rsidTr="00ED533E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94" w:rsidRDefault="00423494" w:rsidP="00ED533E">
            <w:pPr>
              <w:rPr>
                <w:rFonts w:ascii="Adobe Caslon Pro" w:hAnsi="Adobe Caslon Pro" w:cs="Arial"/>
                <w:sz w:val="20"/>
              </w:rPr>
            </w:pPr>
            <w:r>
              <w:rPr>
                <w:rFonts w:ascii="Adobe Caslon Pro" w:hAnsi="Adobe Caslon Pro" w:cs="Arial"/>
                <w:sz w:val="20"/>
              </w:rPr>
              <w:t>Otros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94" w:rsidRDefault="009D3F62" w:rsidP="00ED533E">
            <w:pPr>
              <w:jc w:val="center"/>
              <w:rPr>
                <w:rFonts w:ascii="Adobe Caslon Pro" w:hAnsi="Adobe Caslon Pro" w:cs="Arial"/>
                <w:sz w:val="20"/>
              </w:rPr>
            </w:pPr>
            <w:r>
              <w:rPr>
                <w:rFonts w:ascii="Adobe Caslon Pro" w:hAnsi="Adobe Caslon Pro" w:cs="Arial"/>
                <w:sz w:val="20"/>
              </w:rPr>
              <w:t>2</w:t>
            </w:r>
          </w:p>
        </w:tc>
      </w:tr>
      <w:tr w:rsidR="00423494" w:rsidTr="00ED533E">
        <w:trPr>
          <w:trHeight w:val="7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494" w:rsidRDefault="00423494" w:rsidP="00ED533E">
            <w:pPr>
              <w:jc w:val="right"/>
              <w:rPr>
                <w:rFonts w:ascii="Adobe Caslon Pro" w:hAnsi="Adobe Caslon Pro" w:cs="Arial"/>
                <w:b/>
                <w:sz w:val="20"/>
              </w:rPr>
            </w:pPr>
            <w:r>
              <w:rPr>
                <w:rFonts w:ascii="Adobe Caslon Pro" w:hAnsi="Adobe Caslon Pro" w:cs="Arial"/>
                <w:b/>
                <w:sz w:val="20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494" w:rsidRDefault="009D3F62" w:rsidP="00ED533E">
            <w:pPr>
              <w:jc w:val="center"/>
              <w:rPr>
                <w:rFonts w:ascii="Adobe Caslon Pro" w:hAnsi="Adobe Caslon Pro" w:cs="Arial"/>
                <w:b/>
                <w:sz w:val="20"/>
              </w:rPr>
            </w:pPr>
            <w:r>
              <w:rPr>
                <w:rFonts w:ascii="Adobe Caslon Pro" w:hAnsi="Adobe Caslon Pro" w:cs="Arial"/>
                <w:b/>
                <w:sz w:val="20"/>
              </w:rPr>
              <w:t>24</w:t>
            </w:r>
          </w:p>
        </w:tc>
      </w:tr>
    </w:tbl>
    <w:p w:rsidR="00423494" w:rsidRDefault="00423494" w:rsidP="00423494">
      <w:pPr>
        <w:spacing w:line="276" w:lineRule="auto"/>
        <w:jc w:val="center"/>
        <w:rPr>
          <w:rFonts w:ascii="Adobe Caslon Pro" w:hAnsi="Adobe Caslon Pro" w:cs="Arial"/>
          <w:sz w:val="22"/>
          <w:szCs w:val="22"/>
        </w:rPr>
      </w:pPr>
    </w:p>
    <w:p w:rsidR="00423494" w:rsidRPr="00576B1A" w:rsidRDefault="00AF4061" w:rsidP="00576B1A">
      <w:pPr>
        <w:spacing w:after="160" w:line="276" w:lineRule="auto"/>
        <w:jc w:val="both"/>
        <w:rPr>
          <w:rFonts w:ascii="Adobe Caslon Pro" w:eastAsiaTheme="minorHAnsi" w:hAnsi="Adobe Caslon Pro" w:cs="Arial"/>
          <w:lang w:eastAsia="en-US"/>
        </w:rPr>
      </w:pPr>
      <w:r>
        <w:rPr>
          <w:rFonts w:ascii="Adobe Caslon Pro" w:hAnsi="Adobe Caslon Pro" w:cs="Arial"/>
        </w:rPr>
        <w:t>Como se puede apreciar, los rubros que presentan el mayor número de áreas de oportunidad, corresponden a:</w:t>
      </w:r>
      <w:r w:rsidR="00E958FB" w:rsidRPr="00E958FB">
        <w:rPr>
          <w:rFonts w:ascii="Adobe Caslon Pro" w:hAnsi="Adobe Caslon Pro" w:cs="Arial"/>
          <w:b/>
        </w:rPr>
        <w:t xml:space="preserve"> </w:t>
      </w:r>
      <w:r w:rsidR="00E958FB">
        <w:rPr>
          <w:rFonts w:ascii="Adobe Caslon Pro" w:hAnsi="Adobe Caslon Pro" w:cs="Arial"/>
          <w:b/>
        </w:rPr>
        <w:t xml:space="preserve">(comprobación) </w:t>
      </w:r>
      <w:r w:rsidR="00E958FB">
        <w:rPr>
          <w:rFonts w:ascii="Adobe Caslon Pro" w:hAnsi="Adobe Caslon Pro" w:cs="Arial"/>
        </w:rPr>
        <w:t>con el 41.67%,</w:t>
      </w:r>
      <w:r w:rsidR="00E958FB">
        <w:rPr>
          <w:rFonts w:ascii="Adobe Caslon Pro" w:hAnsi="Adobe Caslon Pro" w:cs="Arial"/>
          <w:b/>
        </w:rPr>
        <w:t xml:space="preserve"> </w:t>
      </w:r>
      <w:r>
        <w:rPr>
          <w:rFonts w:ascii="Adobe Caslon Pro" w:hAnsi="Adobe Caslon Pro" w:cs="Arial"/>
          <w:b/>
        </w:rPr>
        <w:t>(solicitud)</w:t>
      </w:r>
      <w:r>
        <w:rPr>
          <w:rFonts w:ascii="Adobe Caslon Pro" w:hAnsi="Adobe Caslon Pro" w:cs="Arial"/>
        </w:rPr>
        <w:t xml:space="preserve"> con el 37.5%,</w:t>
      </w:r>
      <w:r>
        <w:rPr>
          <w:rFonts w:ascii="Adobe Caslon Pro" w:hAnsi="Adobe Caslon Pro" w:cs="Arial"/>
          <w:b/>
        </w:rPr>
        <w:t xml:space="preserve"> </w:t>
      </w:r>
      <w:r w:rsidR="00E958FB">
        <w:rPr>
          <w:rFonts w:ascii="Adobe Caslon Pro" w:hAnsi="Adobe Caslon Pro" w:cs="Arial"/>
          <w:b/>
        </w:rPr>
        <w:t>(autorización)</w:t>
      </w:r>
      <w:r w:rsidR="00E958FB">
        <w:rPr>
          <w:rFonts w:ascii="Adobe Caslon Pro" w:hAnsi="Adobe Caslon Pro" w:cs="Arial"/>
        </w:rPr>
        <w:t xml:space="preserve"> con el 12.5% </w:t>
      </w:r>
      <w:r>
        <w:rPr>
          <w:rFonts w:ascii="Adobe Caslon Pro" w:hAnsi="Adobe Caslon Pro" w:cs="Arial"/>
          <w:b/>
          <w:sz w:val="22"/>
          <w:szCs w:val="22"/>
          <w:lang w:val="es-MX"/>
        </w:rPr>
        <w:t>y</w:t>
      </w:r>
      <w:r>
        <w:rPr>
          <w:rFonts w:ascii="Adobe Caslon Pro" w:hAnsi="Adobe Caslon Pro" w:cs="Arial"/>
          <w:sz w:val="22"/>
          <w:szCs w:val="22"/>
          <w:lang w:val="es-MX"/>
        </w:rPr>
        <w:t xml:space="preserve"> con el porcentaje mínimo en otras áreas de oportunidad identificadas </w:t>
      </w:r>
      <w:r>
        <w:rPr>
          <w:rFonts w:ascii="Adobe Caslon Pro" w:hAnsi="Adobe Caslon Pro" w:cs="Arial"/>
          <w:b/>
          <w:sz w:val="22"/>
          <w:szCs w:val="22"/>
          <w:lang w:val="es-MX"/>
        </w:rPr>
        <w:t xml:space="preserve">(otros) </w:t>
      </w:r>
      <w:r w:rsidRPr="004F3E23">
        <w:rPr>
          <w:rFonts w:ascii="Adobe Caslon Pro" w:hAnsi="Adobe Caslon Pro" w:cs="Arial"/>
          <w:sz w:val="22"/>
          <w:szCs w:val="22"/>
          <w:lang w:val="es-MX"/>
        </w:rPr>
        <w:t xml:space="preserve">con el </w:t>
      </w:r>
      <w:r w:rsidR="00E958FB">
        <w:rPr>
          <w:rFonts w:ascii="Adobe Caslon Pro" w:hAnsi="Adobe Caslon Pro" w:cs="Arial"/>
        </w:rPr>
        <w:t>8.33</w:t>
      </w:r>
      <w:r>
        <w:rPr>
          <w:rFonts w:ascii="Adobe Caslon Pro" w:hAnsi="Adobe Caslon Pro" w:cs="Arial"/>
          <w:sz w:val="22"/>
          <w:szCs w:val="22"/>
          <w:lang w:val="es-MX"/>
        </w:rPr>
        <w:t>% del total respectivamente.</w:t>
      </w:r>
    </w:p>
    <w:p w:rsidR="00423494" w:rsidRDefault="00423494" w:rsidP="00423494">
      <w:pPr>
        <w:spacing w:line="276" w:lineRule="auto"/>
        <w:jc w:val="both"/>
        <w:rPr>
          <w:rFonts w:ascii="Adobe Caslon Pro" w:hAnsi="Adobe Caslon Pro" w:cs="Arial"/>
        </w:rPr>
      </w:pPr>
      <w:r>
        <w:rPr>
          <w:rFonts w:ascii="Adobe Caslon Pro" w:hAnsi="Adobe Caslon Pro" w:cs="Arial"/>
        </w:rPr>
        <w:t>A continuación, se hace una referencia de las áreas de oportunidad en las que existe mayor recurrencia:</w:t>
      </w:r>
    </w:p>
    <w:p w:rsidR="00423494" w:rsidRDefault="00423494" w:rsidP="00576B1A">
      <w:pPr>
        <w:spacing w:line="276" w:lineRule="auto"/>
        <w:rPr>
          <w:rFonts w:ascii="Adobe Caslon Pro" w:hAnsi="Adobe Caslon Pro" w:cs="Arial"/>
          <w:sz w:val="20"/>
        </w:rPr>
      </w:pPr>
    </w:p>
    <w:p w:rsidR="00423494" w:rsidRDefault="00AF4061" w:rsidP="00423494">
      <w:pPr>
        <w:spacing w:line="276" w:lineRule="auto"/>
        <w:jc w:val="center"/>
        <w:rPr>
          <w:rFonts w:ascii="Adobe Caslon Pro" w:hAnsi="Adobe Caslon Pro" w:cs="Arial"/>
          <w:sz w:val="20"/>
        </w:rPr>
      </w:pPr>
      <w:r>
        <w:rPr>
          <w:rFonts w:ascii="Adobe Caslon Pro" w:hAnsi="Adobe Caslon Pro" w:cs="Arial"/>
          <w:sz w:val="20"/>
        </w:rPr>
        <w:t>Á</w:t>
      </w:r>
      <w:r w:rsidR="00423494">
        <w:rPr>
          <w:rFonts w:ascii="Adobe Caslon Pro" w:hAnsi="Adobe Caslon Pro" w:cs="Arial"/>
          <w:sz w:val="20"/>
        </w:rPr>
        <w:t>REAS DE OPORTUNIDAD</w:t>
      </w:r>
    </w:p>
    <w:p w:rsidR="00423494" w:rsidRDefault="00423494" w:rsidP="00423494">
      <w:pPr>
        <w:spacing w:line="276" w:lineRule="auto"/>
        <w:jc w:val="center"/>
        <w:rPr>
          <w:rFonts w:ascii="Adobe Caslon Pro" w:hAnsi="Adobe Caslon Pro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5097"/>
        <w:gridCol w:w="6"/>
      </w:tblGrid>
      <w:tr w:rsidR="00423494" w:rsidTr="00576B1A">
        <w:trPr>
          <w:gridAfter w:val="1"/>
          <w:wAfter w:w="6" w:type="dxa"/>
          <w:trHeight w:val="515"/>
        </w:trPr>
        <w:tc>
          <w:tcPr>
            <w:tcW w:w="4957" w:type="dxa"/>
            <w:hideMark/>
          </w:tcPr>
          <w:p w:rsidR="00423494" w:rsidRPr="001841C3" w:rsidRDefault="00423494" w:rsidP="00ED533E">
            <w:pPr>
              <w:spacing w:line="276" w:lineRule="auto"/>
              <w:jc w:val="center"/>
              <w:rPr>
                <w:rFonts w:ascii="Adobe Caslon Pro" w:hAnsi="Adobe Caslon Pro" w:cs="Arial"/>
                <w:sz w:val="22"/>
                <w:szCs w:val="22"/>
              </w:rPr>
            </w:pPr>
            <w:r w:rsidRPr="001841C3">
              <w:rPr>
                <w:rFonts w:ascii="Adobe Caslon Pro" w:hAnsi="Adobe Caslon Pro" w:cs="Arial"/>
                <w:sz w:val="22"/>
                <w:szCs w:val="22"/>
              </w:rPr>
              <w:t>Documento revisado</w:t>
            </w:r>
          </w:p>
        </w:tc>
        <w:tc>
          <w:tcPr>
            <w:tcW w:w="5097" w:type="dxa"/>
            <w:hideMark/>
          </w:tcPr>
          <w:p w:rsidR="00423494" w:rsidRPr="001841C3" w:rsidRDefault="00423494" w:rsidP="00ED533E">
            <w:pPr>
              <w:spacing w:line="276" w:lineRule="auto"/>
              <w:jc w:val="center"/>
              <w:rPr>
                <w:rFonts w:ascii="Adobe Caslon Pro" w:hAnsi="Adobe Caslon Pro" w:cs="Arial"/>
                <w:sz w:val="22"/>
                <w:szCs w:val="22"/>
              </w:rPr>
            </w:pPr>
            <w:r w:rsidRPr="001841C3">
              <w:rPr>
                <w:rFonts w:ascii="Adobe Caslon Pro" w:hAnsi="Adobe Caslon Pro" w:cs="Arial"/>
                <w:sz w:val="22"/>
                <w:szCs w:val="22"/>
              </w:rPr>
              <w:t>Acciones</w:t>
            </w:r>
          </w:p>
        </w:tc>
      </w:tr>
      <w:tr w:rsidR="00576B1A" w:rsidTr="00576B1A">
        <w:tc>
          <w:tcPr>
            <w:tcW w:w="4957" w:type="dxa"/>
            <w:hideMark/>
          </w:tcPr>
          <w:p w:rsidR="00576B1A" w:rsidRPr="00576B1A" w:rsidRDefault="00576B1A" w:rsidP="00576B1A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</w:rPr>
            </w:pPr>
            <w:r w:rsidRPr="00576B1A">
              <w:rPr>
                <w:rFonts w:ascii="Adobe Caslon Pro" w:hAnsi="Adobe Caslon Pro" w:cs="Arial"/>
                <w:sz w:val="18"/>
                <w:szCs w:val="18"/>
              </w:rPr>
              <w:t>Documento jurídico que acredite la propiedad o la posesión del predio donde instalará el proyecto.</w:t>
            </w:r>
          </w:p>
        </w:tc>
        <w:tc>
          <w:tcPr>
            <w:tcW w:w="5103" w:type="dxa"/>
            <w:gridSpan w:val="2"/>
          </w:tcPr>
          <w:p w:rsidR="00576B1A" w:rsidRPr="00576B1A" w:rsidRDefault="00576B1A" w:rsidP="00576B1A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</w:rPr>
            </w:pPr>
            <w:r>
              <w:rPr>
                <w:rFonts w:ascii="Adobe Caslon Pro" w:hAnsi="Adobe Caslon Pro" w:cs="Arial"/>
                <w:sz w:val="18"/>
                <w:szCs w:val="18"/>
              </w:rPr>
              <w:t>*</w:t>
            </w:r>
            <w:r w:rsidRPr="00576B1A">
              <w:rPr>
                <w:rFonts w:ascii="Adobe Caslon Pro" w:hAnsi="Adobe Caslon Pro" w:cs="Arial"/>
                <w:sz w:val="18"/>
                <w:szCs w:val="18"/>
              </w:rPr>
              <w:t>No se encontró el documento en el expediente</w:t>
            </w:r>
          </w:p>
        </w:tc>
      </w:tr>
      <w:tr w:rsidR="00576B1A" w:rsidTr="00576B1A">
        <w:tc>
          <w:tcPr>
            <w:tcW w:w="4957" w:type="dxa"/>
            <w:hideMark/>
          </w:tcPr>
          <w:p w:rsidR="00576B1A" w:rsidRPr="00576B1A" w:rsidRDefault="00576B1A" w:rsidP="00576B1A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</w:rPr>
            </w:pPr>
            <w:r w:rsidRPr="00576B1A">
              <w:rPr>
                <w:rFonts w:ascii="Adobe Caslon Pro" w:hAnsi="Adobe Caslon Pro" w:cs="Arial"/>
                <w:sz w:val="18"/>
                <w:szCs w:val="18"/>
              </w:rPr>
              <w:t>Escrito bajo protesta de decir verdad que cuentan con la infraestructura necesaria en sus domicilios fiscales y/o sedes específicas de operación, que les permita utilizar el apoyo para los fines autorizados.</w:t>
            </w:r>
          </w:p>
        </w:tc>
        <w:tc>
          <w:tcPr>
            <w:tcW w:w="5103" w:type="dxa"/>
            <w:gridSpan w:val="2"/>
            <w:hideMark/>
          </w:tcPr>
          <w:p w:rsidR="00576B1A" w:rsidRDefault="00576B1A" w:rsidP="00576B1A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</w:rPr>
            </w:pPr>
            <w:r>
              <w:rPr>
                <w:rFonts w:ascii="Adobe Caslon Pro" w:hAnsi="Adobe Caslon Pro" w:cs="Arial"/>
                <w:sz w:val="18"/>
                <w:szCs w:val="18"/>
              </w:rPr>
              <w:t>*</w:t>
            </w:r>
            <w:r w:rsidRPr="00576B1A">
              <w:rPr>
                <w:rFonts w:ascii="Adobe Caslon Pro" w:hAnsi="Adobe Caslon Pro" w:cs="Arial"/>
                <w:sz w:val="18"/>
                <w:szCs w:val="18"/>
              </w:rPr>
              <w:t>La escritura pública número 30,477, de la compra venta de un predio se encuentra incompleta.</w:t>
            </w:r>
          </w:p>
          <w:p w:rsidR="00576B1A" w:rsidRPr="00576B1A" w:rsidRDefault="00576B1A" w:rsidP="00576B1A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</w:rPr>
            </w:pPr>
            <w:r>
              <w:rPr>
                <w:rFonts w:ascii="Adobe Caslon Pro" w:hAnsi="Adobe Caslon Pro" w:cs="Arial"/>
                <w:sz w:val="18"/>
                <w:szCs w:val="18"/>
              </w:rPr>
              <w:t xml:space="preserve"> *</w:t>
            </w:r>
            <w:r w:rsidRPr="00576B1A">
              <w:rPr>
                <w:rFonts w:ascii="Adobe Caslon Pro" w:hAnsi="Adobe Caslon Pro" w:cs="Arial"/>
                <w:sz w:val="18"/>
                <w:szCs w:val="18"/>
              </w:rPr>
              <w:t xml:space="preserve">Asimismo, el predio corresponde a la ubicación del domicilio fiscal del beneficiario y no así al del proyecto. </w:t>
            </w:r>
          </w:p>
        </w:tc>
      </w:tr>
      <w:tr w:rsidR="00576B1A" w:rsidTr="00576B1A">
        <w:tc>
          <w:tcPr>
            <w:tcW w:w="4957" w:type="dxa"/>
            <w:hideMark/>
          </w:tcPr>
          <w:p w:rsidR="00576B1A" w:rsidRPr="00576B1A" w:rsidRDefault="00576B1A" w:rsidP="00576B1A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</w:rPr>
            </w:pPr>
            <w:r w:rsidRPr="00576B1A">
              <w:rPr>
                <w:rFonts w:ascii="Adobe Caslon Pro" w:hAnsi="Adobe Caslon Pro" w:cs="Arial"/>
                <w:sz w:val="18"/>
                <w:szCs w:val="18"/>
              </w:rPr>
              <w:t>Recibo o factura original del beneficiario que ampare el monto del incentivo y que cumple con los requisitos fiscales.</w:t>
            </w:r>
          </w:p>
        </w:tc>
        <w:tc>
          <w:tcPr>
            <w:tcW w:w="5103" w:type="dxa"/>
            <w:gridSpan w:val="2"/>
            <w:hideMark/>
          </w:tcPr>
          <w:p w:rsidR="00576B1A" w:rsidRPr="00576B1A" w:rsidRDefault="00576B1A" w:rsidP="00576B1A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</w:rPr>
            </w:pPr>
            <w:r>
              <w:rPr>
                <w:rFonts w:ascii="Adobe Caslon Pro" w:hAnsi="Adobe Caslon Pro" w:cs="Arial"/>
                <w:sz w:val="18"/>
                <w:szCs w:val="18"/>
              </w:rPr>
              <w:t>*</w:t>
            </w:r>
            <w:r w:rsidRPr="00576B1A">
              <w:rPr>
                <w:rFonts w:ascii="Adobe Caslon Pro" w:hAnsi="Adobe Caslon Pro" w:cs="Arial"/>
                <w:sz w:val="18"/>
                <w:szCs w:val="18"/>
              </w:rPr>
              <w:t>Se encontró en el expediente recibo simple por la ministración del apoyo, sin embargo, de acuerdo al artículo 119 ii. K., se requiere recibo que cumpla con requisitos fiscales.</w:t>
            </w:r>
          </w:p>
        </w:tc>
      </w:tr>
      <w:tr w:rsidR="00576B1A" w:rsidTr="00576B1A">
        <w:tc>
          <w:tcPr>
            <w:tcW w:w="4957" w:type="dxa"/>
            <w:hideMark/>
          </w:tcPr>
          <w:p w:rsidR="00576B1A" w:rsidRPr="00576B1A" w:rsidRDefault="00576B1A" w:rsidP="00576B1A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</w:rPr>
            </w:pPr>
            <w:r w:rsidRPr="00576B1A">
              <w:rPr>
                <w:rFonts w:ascii="Adobe Caslon Pro" w:hAnsi="Adobe Caslon Pro" w:cs="Arial"/>
                <w:sz w:val="18"/>
                <w:szCs w:val="18"/>
              </w:rPr>
              <w:t>Informe final detallado (sobre los resultados y alcances obtenidos en la ejecución de las acciones materia del convenio y del ejercicio de los recursos otorgados</w:t>
            </w:r>
            <w:r>
              <w:rPr>
                <w:rFonts w:ascii="Adobe Caslon Pro" w:hAnsi="Adobe Caslon Pro" w:cs="Arial"/>
                <w:sz w:val="18"/>
                <w:szCs w:val="18"/>
              </w:rPr>
              <w:t>)</w:t>
            </w:r>
            <w:r w:rsidRPr="00576B1A">
              <w:rPr>
                <w:rFonts w:ascii="Adobe Caslon Pro" w:hAnsi="Adobe Caslon Pro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gridSpan w:val="2"/>
            <w:hideMark/>
          </w:tcPr>
          <w:p w:rsidR="00576B1A" w:rsidRPr="00576B1A" w:rsidRDefault="00576B1A" w:rsidP="00576B1A">
            <w:pPr>
              <w:spacing w:line="276" w:lineRule="auto"/>
              <w:jc w:val="both"/>
              <w:rPr>
                <w:rFonts w:ascii="Adobe Caslon Pro" w:hAnsi="Adobe Caslon Pro" w:cs="Arial"/>
                <w:sz w:val="18"/>
                <w:szCs w:val="18"/>
              </w:rPr>
            </w:pPr>
            <w:r>
              <w:rPr>
                <w:rFonts w:ascii="Adobe Caslon Pro" w:hAnsi="Adobe Caslon Pro" w:cs="Arial"/>
                <w:sz w:val="18"/>
                <w:szCs w:val="18"/>
              </w:rPr>
              <w:t>*</w:t>
            </w:r>
            <w:r w:rsidRPr="00576B1A">
              <w:rPr>
                <w:rFonts w:ascii="Adobe Caslon Pro" w:hAnsi="Adobe Caslon Pro" w:cs="Arial"/>
                <w:sz w:val="18"/>
                <w:szCs w:val="18"/>
              </w:rPr>
              <w:t xml:space="preserve">No se encontró en el expediente el documento, cabe aclarar que de acuerdo a lo indicado en el convenio el proyecto debió concluir el 24-ene-2018. </w:t>
            </w:r>
          </w:p>
        </w:tc>
      </w:tr>
    </w:tbl>
    <w:p w:rsidR="00423494" w:rsidRDefault="00423494" w:rsidP="00423494">
      <w:pPr>
        <w:jc w:val="both"/>
        <w:rPr>
          <w:rFonts w:ascii="Adobe Caslon Pro" w:hAnsi="Adobe Caslon Pro" w:cs="Arial"/>
          <w:sz w:val="10"/>
          <w:szCs w:val="10"/>
        </w:rPr>
      </w:pPr>
    </w:p>
    <w:p w:rsidR="00423494" w:rsidRDefault="00423494" w:rsidP="00423494">
      <w:pPr>
        <w:spacing w:line="276" w:lineRule="auto"/>
        <w:jc w:val="both"/>
        <w:rPr>
          <w:rFonts w:ascii="Adobe Caslon Pro" w:hAnsi="Adobe Caslon Pro" w:cs="Arial"/>
          <w:sz w:val="20"/>
        </w:rPr>
      </w:pPr>
      <w:bookmarkStart w:id="0" w:name="_GoBack"/>
      <w:bookmarkEnd w:id="0"/>
    </w:p>
    <w:p w:rsidR="005524A6" w:rsidRPr="00532691" w:rsidRDefault="005524A6" w:rsidP="005524A6">
      <w:pPr>
        <w:spacing w:before="240" w:line="360" w:lineRule="auto"/>
        <w:jc w:val="both"/>
        <w:rPr>
          <w:rFonts w:ascii="Adobe Caslon Pro" w:hAnsi="Adobe Caslon Pro" w:cs="Arial"/>
          <w:sz w:val="20"/>
        </w:rPr>
      </w:pPr>
      <w:r w:rsidRPr="00532691">
        <w:rPr>
          <w:rFonts w:ascii="Adobe Caslon Pro" w:hAnsi="Adobe Caslon Pro" w:cs="Arial"/>
          <w:sz w:val="20"/>
        </w:rPr>
        <w:t xml:space="preserve">El estatus de las áreas de oportunidad, se dan a conocer conforme a lo dispuesto en los numerales </w:t>
      </w:r>
      <w:r w:rsidRPr="00532691">
        <w:rPr>
          <w:rFonts w:ascii="Adobe Caslon Pro" w:hAnsi="Adobe Caslon Pro" w:cs="Arial"/>
          <w:b/>
          <w:sz w:val="20"/>
        </w:rPr>
        <w:t xml:space="preserve">5.4, 5.7 y 5.11 </w:t>
      </w:r>
      <w:r w:rsidRPr="00532691">
        <w:rPr>
          <w:rFonts w:ascii="Adobe Caslon Pro" w:hAnsi="Adobe Caslon Pro" w:cs="Arial"/>
          <w:sz w:val="20"/>
        </w:rPr>
        <w:t xml:space="preserve">del apartado </w:t>
      </w:r>
      <w:r w:rsidRPr="00532691">
        <w:rPr>
          <w:rFonts w:ascii="Adobe Caslon Pro" w:hAnsi="Adobe Caslon Pro" w:cs="Arial"/>
          <w:b/>
          <w:sz w:val="20"/>
        </w:rPr>
        <w:t xml:space="preserve">5. Políticas; 6.7, 6.13, 6.18, y 6.23 </w:t>
      </w:r>
      <w:r w:rsidRPr="00532691">
        <w:rPr>
          <w:rFonts w:ascii="Adobe Caslon Pro" w:hAnsi="Adobe Caslon Pro" w:cs="Arial"/>
          <w:sz w:val="20"/>
        </w:rPr>
        <w:t xml:space="preserve">del apartado </w:t>
      </w:r>
      <w:r w:rsidRPr="00532691">
        <w:rPr>
          <w:rFonts w:ascii="Adobe Caslon Pro" w:hAnsi="Adobe Caslon Pro" w:cs="Arial"/>
          <w:b/>
          <w:sz w:val="20"/>
        </w:rPr>
        <w:t>6. Responsabilidades</w:t>
      </w:r>
      <w:r w:rsidRPr="00532691">
        <w:rPr>
          <w:rFonts w:ascii="Adobe Caslon Pro" w:hAnsi="Adobe Caslon Pro" w:cs="Arial"/>
          <w:sz w:val="20"/>
        </w:rPr>
        <w:t xml:space="preserve"> del Manual de Políticas y Procedimientos para el Seguimiento Normativo y la Revisión de Expedientes, de los Programas Operados por la Dirección General Adjunta de Promoción de Negocios y Coordinación Regional; inciso </w:t>
      </w:r>
      <w:r w:rsidRPr="00532691">
        <w:rPr>
          <w:rFonts w:ascii="Adobe Caslon Pro" w:hAnsi="Adobe Caslon Pro" w:cs="Arial"/>
          <w:b/>
          <w:sz w:val="20"/>
        </w:rPr>
        <w:t>j)</w:t>
      </w:r>
      <w:r w:rsidRPr="00532691">
        <w:rPr>
          <w:rFonts w:ascii="Adobe Caslon Pro" w:hAnsi="Adobe Caslon Pro" w:cs="Arial"/>
          <w:sz w:val="20"/>
        </w:rPr>
        <w:t xml:space="preserve"> numeral </w:t>
      </w:r>
      <w:r w:rsidRPr="00532691">
        <w:rPr>
          <w:rFonts w:ascii="Adobe Caslon Pro" w:hAnsi="Adobe Caslon Pro" w:cs="Arial"/>
          <w:b/>
          <w:sz w:val="20"/>
        </w:rPr>
        <w:t>4</w:t>
      </w:r>
      <w:r w:rsidRPr="00532691">
        <w:rPr>
          <w:rFonts w:ascii="Adobe Caslon Pro" w:hAnsi="Adobe Caslon Pro" w:cs="Arial"/>
          <w:sz w:val="20"/>
        </w:rPr>
        <w:t xml:space="preserve"> del apartado </w:t>
      </w:r>
      <w:r w:rsidRPr="00532691">
        <w:rPr>
          <w:rFonts w:ascii="Adobe Caslon Pro" w:hAnsi="Adobe Caslon Pro" w:cs="Arial"/>
          <w:b/>
          <w:sz w:val="20"/>
        </w:rPr>
        <w:t>6. Responsabilidades</w:t>
      </w:r>
      <w:r w:rsidRPr="00532691">
        <w:rPr>
          <w:rFonts w:ascii="Adobe Caslon Pro" w:hAnsi="Adobe Caslon Pro" w:cs="Arial"/>
          <w:sz w:val="20"/>
        </w:rPr>
        <w:t>, del Manual de Procedimientos de Operación de los componentes de Mezcla de Recursos, a fin de que cuente con elementos que le permitan dar seguimiento a las áreas de oportunidad determinadas, o en su caso, determinar las acciones que se consideren procedentes.</w:t>
      </w:r>
    </w:p>
    <w:p w:rsidR="001D243D" w:rsidRPr="00576B1A" w:rsidRDefault="00AC789D" w:rsidP="005524A6">
      <w:pPr>
        <w:spacing w:line="276" w:lineRule="auto"/>
        <w:jc w:val="both"/>
        <w:rPr>
          <w:rFonts w:ascii="Adobe Caslon Pro" w:hAnsi="Adobe Caslon Pro" w:cs="Arial"/>
          <w:sz w:val="20"/>
        </w:rPr>
      </w:pPr>
    </w:p>
    <w:sectPr w:rsidR="001D243D" w:rsidRPr="00576B1A" w:rsidSect="008D221F">
      <w:headerReference w:type="default" r:id="rId7"/>
      <w:footerReference w:type="even" r:id="rId8"/>
      <w:footerReference w:type="default" r:id="rId9"/>
      <w:pgSz w:w="12240" w:h="15840"/>
      <w:pgMar w:top="2552" w:right="758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9D" w:rsidRDefault="00AC789D">
      <w:r>
        <w:separator/>
      </w:r>
    </w:p>
  </w:endnote>
  <w:endnote w:type="continuationSeparator" w:id="0">
    <w:p w:rsidR="00AC789D" w:rsidRDefault="00AC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Default="00576B1A" w:rsidP="003C7F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92E" w:rsidRDefault="00AC789D" w:rsidP="000139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Pr="0001392E" w:rsidRDefault="00576B1A" w:rsidP="003C7F95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01392E">
      <w:rPr>
        <w:rStyle w:val="Nmerodepgina"/>
        <w:sz w:val="16"/>
        <w:szCs w:val="16"/>
      </w:rPr>
      <w:fldChar w:fldCharType="begin"/>
    </w:r>
    <w:r w:rsidRPr="0001392E">
      <w:rPr>
        <w:rStyle w:val="Nmerodepgina"/>
        <w:sz w:val="16"/>
        <w:szCs w:val="16"/>
      </w:rPr>
      <w:instrText xml:space="preserve">PAGE  </w:instrText>
    </w:r>
    <w:r w:rsidRPr="0001392E">
      <w:rPr>
        <w:rStyle w:val="Nmerodepgina"/>
        <w:sz w:val="16"/>
        <w:szCs w:val="16"/>
      </w:rPr>
      <w:fldChar w:fldCharType="separate"/>
    </w:r>
    <w:r w:rsidR="005524A6">
      <w:rPr>
        <w:rStyle w:val="Nmerodepgina"/>
        <w:noProof/>
        <w:sz w:val="16"/>
        <w:szCs w:val="16"/>
      </w:rPr>
      <w:t>2</w:t>
    </w:r>
    <w:r w:rsidRPr="0001392E">
      <w:rPr>
        <w:rStyle w:val="Nmerodepgina"/>
        <w:sz w:val="16"/>
        <w:szCs w:val="16"/>
      </w:rPr>
      <w:fldChar w:fldCharType="end"/>
    </w:r>
  </w:p>
  <w:p w:rsidR="0001392E" w:rsidRDefault="00AC789D" w:rsidP="0001392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9D" w:rsidRDefault="00AC789D">
      <w:r>
        <w:separator/>
      </w:r>
    </w:p>
  </w:footnote>
  <w:footnote w:type="continuationSeparator" w:id="0">
    <w:p w:rsidR="00AC789D" w:rsidRDefault="00AC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56" w:rsidRDefault="00576B1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5E66269" wp14:editId="125A2B7E">
          <wp:simplePos x="0" y="0"/>
          <wp:positionH relativeFrom="page">
            <wp:align>right</wp:align>
          </wp:positionH>
          <wp:positionV relativeFrom="paragraph">
            <wp:posOffset>-432591</wp:posOffset>
          </wp:positionV>
          <wp:extent cx="7774656" cy="10125418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CORPORA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656" cy="1012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6162"/>
    <w:multiLevelType w:val="hybridMultilevel"/>
    <w:tmpl w:val="EA9E6D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94"/>
    <w:rsid w:val="000541B9"/>
    <w:rsid w:val="001841C3"/>
    <w:rsid w:val="002A59A9"/>
    <w:rsid w:val="00423494"/>
    <w:rsid w:val="004901E8"/>
    <w:rsid w:val="005524A6"/>
    <w:rsid w:val="00576B1A"/>
    <w:rsid w:val="005A3290"/>
    <w:rsid w:val="006118D8"/>
    <w:rsid w:val="00880FDF"/>
    <w:rsid w:val="009D3F62"/>
    <w:rsid w:val="00AC789D"/>
    <w:rsid w:val="00AF4061"/>
    <w:rsid w:val="00DC165A"/>
    <w:rsid w:val="00E958FB"/>
    <w:rsid w:val="00F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5D87"/>
  <w15:chartTrackingRefBased/>
  <w15:docId w15:val="{84023B17-FB4F-4123-99F5-631B4819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49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23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494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423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94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3494"/>
    <w:pPr>
      <w:ind w:left="720"/>
      <w:contextualSpacing/>
    </w:pPr>
  </w:style>
  <w:style w:type="table" w:styleId="Tablaconcuadrcula">
    <w:name w:val="Table Grid"/>
    <w:basedOn w:val="Tablanormal"/>
    <w:rsid w:val="00423494"/>
    <w:pPr>
      <w:spacing w:after="0" w:line="240" w:lineRule="auto"/>
    </w:pPr>
    <w:rPr>
      <w:rFonts w:ascii="Cambria" w:eastAsia="MS Mincho" w:hAnsi="Cambria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2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9</cp:revision>
  <dcterms:created xsi:type="dcterms:W3CDTF">2018-09-10T17:11:00Z</dcterms:created>
  <dcterms:modified xsi:type="dcterms:W3CDTF">2018-09-10T21:04:00Z</dcterms:modified>
</cp:coreProperties>
</file>