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91" w:rsidRPr="00532691" w:rsidRDefault="00532691" w:rsidP="00532691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Gerencia de Seguimiento Normativo de los Programas de Apoyo</w:t>
      </w:r>
    </w:p>
    <w:p w:rsidR="00532691" w:rsidRPr="00532691" w:rsidRDefault="00532691" w:rsidP="00532691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Resumen Ejecutivo de Expedientes Revisados de los Programas Externos.</w:t>
      </w:r>
    </w:p>
    <w:p w:rsidR="00532691" w:rsidRPr="00532691" w:rsidRDefault="00532691" w:rsidP="00532691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Coordinación Regional </w:t>
      </w:r>
      <w:r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Noroeste</w:t>
      </w:r>
    </w:p>
    <w:p w:rsidR="00532691" w:rsidRPr="00532691" w:rsidRDefault="00532691" w:rsidP="00532691">
      <w:pPr>
        <w:spacing w:after="0" w:line="276" w:lineRule="auto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Derivado de las funciones encomendadas a la GSNPA, de revisar los expedientes de las solicitudes de apoyo que hubieran recibido recursos correspondientes a los Programas de Apoyo, Internos y Externos, a cargo de la Dirección General Adjunta de Promoción de Negocios y Coordinación Regional; para realizar un análisis y evaluación de los procesos establecidos por la normatividad que los rige; y asimismo coordinar la elaboración de las acciones de mejora que fortalezcan el control interno de los procesos de entrega, supervisión y comprobación de los recursos de los Programas antes mencionados.</w:t>
      </w: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Conforme al Programa de Trabajo de 2018, para revisar los expedientes correspondientes al ejercicio 2017 y con el objeto de incrementar la eficiencia y eficacia en su gestión, dando certeza del cumplimiento a la normativa aplicable vigente a los programas internos y externos; se llevó a cabo la evaluación de los controles internos de los procesos de operación para el otorgamiento de los apoyos internos y externos.</w:t>
      </w: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highlight w:val="yellow"/>
          <w:lang w:val="es-ES_tradnl" w:eastAsia="es-ES"/>
        </w:rPr>
        <w:t>OFICIO</w:t>
      </w: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</w:t>
      </w: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 los 1,109 expedientes integrados por concepto de los Programas Externos que fueron ejecutados en las 80 agencias, correspondientes al ejercicio de 2017, se seleccionaron 38 expedientes; para su revisión, con la herramienta de “Muestra estadística y aleatoria”, el cual nos da un nivel de confianza del 90%, una Probabilidad de error del 4% y Precisión del 5%; operados en el ejercicio 2017.</w:t>
      </w: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 la revisión de 7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expedientes integrados por los apoyos otorgados mediante el programa de:</w:t>
      </w: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532691" w:rsidRPr="00532691" w:rsidRDefault="00532691" w:rsidP="00532691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Programa de Fomento a la Agricultura.</w:t>
      </w: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>Se identificaron 24 áreas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de oportunidad, de las cuales 10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están relacionadas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solicitud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>, 0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autorización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>, 1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con la ministración, 9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comprobación</w:t>
      </w:r>
      <w:r>
        <w:rPr>
          <w:rFonts w:ascii="Adobe Caslon Pro" w:eastAsia="MS Mincho" w:hAnsi="Adobe Caslon Pro" w:cs="Arial"/>
          <w:i/>
          <w:sz w:val="24"/>
          <w:szCs w:val="24"/>
          <w:lang w:eastAsia="es-ES"/>
        </w:rPr>
        <w:t xml:space="preserve"> y 4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 xml:space="preserve"> </w:t>
      </w:r>
      <w:r w:rsidRPr="00532691">
        <w:rPr>
          <w:rFonts w:ascii="Adobe Caslon Pro" w:hAnsi="Adobe Caslon Pro" w:cs="Arial"/>
          <w:sz w:val="24"/>
          <w:szCs w:val="24"/>
        </w:rPr>
        <w:t xml:space="preserve">con </w:t>
      </w:r>
      <w:r w:rsidRPr="00532691">
        <w:rPr>
          <w:rFonts w:ascii="Adobe Caslon Pro" w:hAnsi="Adobe Caslon Pro" w:cs="Arial"/>
          <w:i/>
          <w:sz w:val="24"/>
          <w:szCs w:val="24"/>
        </w:rPr>
        <w:t>otras áreas de oportunidad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. </w:t>
      </w:r>
    </w:p>
    <w:tbl>
      <w:tblPr>
        <w:tblW w:w="4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20"/>
      </w:tblGrid>
      <w:tr w:rsidR="00532691" w:rsidRPr="00532691" w:rsidTr="00ED533E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32691" w:rsidRPr="00532691" w:rsidRDefault="00532691" w:rsidP="00532691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Áreas De Oportunidad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32691" w:rsidRPr="00532691" w:rsidRDefault="00276FA5" w:rsidP="00532691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NORO</w:t>
            </w:r>
            <w:r w:rsidR="00532691"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ESTE</w:t>
            </w:r>
          </w:p>
        </w:tc>
      </w:tr>
      <w:tr w:rsidR="00532691" w:rsidRPr="00532691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2691" w:rsidRPr="00532691" w:rsidRDefault="00532691" w:rsidP="00532691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Solicitud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2691" w:rsidRPr="00532691" w:rsidRDefault="00520C3F" w:rsidP="00532691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10</w:t>
            </w:r>
          </w:p>
        </w:tc>
      </w:tr>
      <w:tr w:rsidR="00532691" w:rsidRPr="00532691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2691" w:rsidRPr="00532691" w:rsidRDefault="00532691" w:rsidP="00532691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Autorización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2691" w:rsidRPr="00532691" w:rsidRDefault="00520C3F" w:rsidP="00532691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0</w:t>
            </w:r>
          </w:p>
        </w:tc>
      </w:tr>
      <w:tr w:rsidR="00532691" w:rsidRPr="00532691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2691" w:rsidRPr="00532691" w:rsidRDefault="00532691" w:rsidP="00532691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Ministración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2691" w:rsidRPr="00532691" w:rsidRDefault="00520C3F" w:rsidP="00532691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1</w:t>
            </w:r>
          </w:p>
        </w:tc>
      </w:tr>
      <w:tr w:rsidR="00532691" w:rsidRPr="00532691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2691" w:rsidRPr="00532691" w:rsidRDefault="00532691" w:rsidP="00532691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Comprobación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2691" w:rsidRPr="00532691" w:rsidRDefault="00520C3F" w:rsidP="00532691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9</w:t>
            </w:r>
          </w:p>
        </w:tc>
      </w:tr>
      <w:tr w:rsidR="00532691" w:rsidRPr="00532691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691" w:rsidRPr="00532691" w:rsidRDefault="00532691" w:rsidP="00532691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Otros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691" w:rsidRPr="00532691" w:rsidRDefault="00520C3F" w:rsidP="00532691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4</w:t>
            </w:r>
          </w:p>
        </w:tc>
      </w:tr>
      <w:tr w:rsidR="00532691" w:rsidRPr="00532691" w:rsidTr="00ED533E">
        <w:trPr>
          <w:trHeight w:val="7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2691" w:rsidRPr="00532691" w:rsidRDefault="00532691" w:rsidP="00532691">
            <w:pPr>
              <w:spacing w:after="0" w:line="240" w:lineRule="auto"/>
              <w:jc w:val="right"/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2691" w:rsidRPr="00532691" w:rsidRDefault="00532691" w:rsidP="00532691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  <w:t>24</w:t>
            </w:r>
          </w:p>
        </w:tc>
      </w:tr>
    </w:tbl>
    <w:p w:rsidR="00532691" w:rsidRPr="00532691" w:rsidRDefault="00532691" w:rsidP="00532691">
      <w:pPr>
        <w:spacing w:after="0" w:line="276" w:lineRule="auto"/>
        <w:jc w:val="center"/>
        <w:rPr>
          <w:rFonts w:ascii="Adobe Caslon Pro" w:eastAsia="MS Mincho" w:hAnsi="Adobe Caslon Pro" w:cs="Arial"/>
          <w:lang w:val="es-ES_tradnl" w:eastAsia="es-ES"/>
        </w:rPr>
      </w:pPr>
    </w:p>
    <w:p w:rsidR="00532691" w:rsidRPr="00532691" w:rsidRDefault="00532691" w:rsidP="00FF5F75">
      <w:pPr>
        <w:spacing w:line="276" w:lineRule="auto"/>
        <w:jc w:val="both"/>
        <w:rPr>
          <w:rFonts w:ascii="Adobe Caslon Pro" w:hAnsi="Adobe Caslon Pro" w:cs="Arial"/>
          <w:sz w:val="24"/>
          <w:szCs w:val="24"/>
          <w:lang w:val="es-ES_tradnl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Como se puede apreciar, los rubros que presentan el mayor número de áreas de oportunidad, corresponden a: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(solicitud)</w:t>
      </w:r>
      <w:r w:rsidR="00FF5F75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con el 42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%,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  <w:r w:rsidR="00FF5F75"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(comprobación) </w:t>
      </w:r>
      <w:r w:rsidR="00FF5F75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con el 38</w:t>
      </w:r>
      <w:r w:rsidR="00FF5F75"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%,</w:t>
      </w:r>
      <w:r w:rsidR="00FF5F75"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  <w:r w:rsidRPr="00532691">
        <w:rPr>
          <w:rFonts w:ascii="Adobe Caslon Pro" w:eastAsia="MS Mincho" w:hAnsi="Adobe Caslon Pro" w:cs="Arial"/>
          <w:lang w:eastAsia="es-ES"/>
        </w:rPr>
        <w:t xml:space="preserve">en otras áreas de oportunidad identificadas </w:t>
      </w:r>
      <w:r w:rsidRPr="00532691">
        <w:rPr>
          <w:rFonts w:ascii="Adobe Caslon Pro" w:eastAsia="MS Mincho" w:hAnsi="Adobe Caslon Pro" w:cs="Arial"/>
          <w:b/>
          <w:lang w:eastAsia="es-ES"/>
        </w:rPr>
        <w:t xml:space="preserve">(otros) </w:t>
      </w:r>
      <w:r w:rsidR="00FF5F75">
        <w:rPr>
          <w:rFonts w:ascii="Adobe Caslon Pro" w:eastAsia="MS Mincho" w:hAnsi="Adobe Caslon Pro" w:cs="Arial"/>
          <w:lang w:eastAsia="es-ES"/>
        </w:rPr>
        <w:t>con el 17% y</w:t>
      </w:r>
      <w:r w:rsidRPr="00532691">
        <w:rPr>
          <w:rFonts w:ascii="Adobe Caslon Pro" w:eastAsia="MS Mincho" w:hAnsi="Adobe Caslon Pro" w:cs="Arial"/>
          <w:lang w:eastAsia="es-ES"/>
        </w:rPr>
        <w:t xml:space="preserve"> </w:t>
      </w:r>
      <w:r w:rsidR="00FF5F75" w:rsidRPr="00532691">
        <w:rPr>
          <w:rFonts w:ascii="Adobe Caslon Pro" w:eastAsia="MS Mincho" w:hAnsi="Adobe Caslon Pro" w:cs="Arial"/>
          <w:lang w:eastAsia="es-ES"/>
        </w:rPr>
        <w:t xml:space="preserve">con el porcentaje mínimo </w:t>
      </w:r>
      <w:r w:rsidR="00FF5F75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(ministr</w:t>
      </w:r>
      <w:r w:rsidR="00FF5F75"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ación)</w:t>
      </w:r>
      <w:r w:rsidR="00FF5F75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con el 4</w:t>
      </w:r>
      <w:r w:rsidR="00FF5F75"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% </w:t>
      </w:r>
      <w:r w:rsidR="00FF5F75" w:rsidRPr="00532691">
        <w:rPr>
          <w:rFonts w:ascii="Adobe Caslon Pro" w:eastAsia="MS Mincho" w:hAnsi="Adobe Caslon Pro" w:cs="Arial"/>
          <w:lang w:eastAsia="es-ES"/>
        </w:rPr>
        <w:t>del total respectivamente.</w:t>
      </w:r>
      <w:r w:rsidR="00FF5F75" w:rsidRPr="00FF5F75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A continuación, se hace una referencia de las áreas de oportunidad en las que existe mayor recurrencia:</w:t>
      </w:r>
    </w:p>
    <w:p w:rsidR="00532691" w:rsidRPr="00532691" w:rsidRDefault="00532691" w:rsidP="00532691">
      <w:pPr>
        <w:spacing w:after="0" w:line="276" w:lineRule="auto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</w:p>
    <w:p w:rsidR="00532691" w:rsidRPr="00532691" w:rsidRDefault="00532691" w:rsidP="00532691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ÁREAS DE OPORTUNIDAD</w:t>
      </w:r>
    </w:p>
    <w:p w:rsidR="00532691" w:rsidRPr="00532691" w:rsidRDefault="00532691" w:rsidP="00532691">
      <w:pPr>
        <w:spacing w:after="0" w:line="276" w:lineRule="auto"/>
        <w:jc w:val="center"/>
        <w:rPr>
          <w:rFonts w:ascii="Adobe Caslon Pro" w:eastAsia="MS Mincho" w:hAnsi="Adobe Caslon Pro" w:cs="Arial"/>
          <w:b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5097"/>
        <w:gridCol w:w="6"/>
      </w:tblGrid>
      <w:tr w:rsidR="00532691" w:rsidRPr="00532691" w:rsidTr="001B64E4">
        <w:trPr>
          <w:gridAfter w:val="1"/>
          <w:wAfter w:w="6" w:type="dxa"/>
          <w:trHeight w:val="515"/>
        </w:trPr>
        <w:tc>
          <w:tcPr>
            <w:tcW w:w="4957" w:type="dxa"/>
            <w:hideMark/>
          </w:tcPr>
          <w:p w:rsidR="00532691" w:rsidRPr="00532691" w:rsidRDefault="00532691" w:rsidP="00532691">
            <w:pPr>
              <w:spacing w:line="276" w:lineRule="auto"/>
              <w:jc w:val="center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1B64E4">
              <w:rPr>
                <w:rFonts w:ascii="Adobe Caslon Pro" w:hAnsi="Adobe Caslon Pro" w:cs="Arial"/>
                <w:szCs w:val="18"/>
                <w:lang w:val="es-ES_tradnl" w:eastAsia="es-ES"/>
              </w:rPr>
              <w:t>Documento revisado</w:t>
            </w:r>
          </w:p>
        </w:tc>
        <w:tc>
          <w:tcPr>
            <w:tcW w:w="5097" w:type="dxa"/>
            <w:hideMark/>
          </w:tcPr>
          <w:p w:rsidR="00532691" w:rsidRPr="00532691" w:rsidRDefault="00532691" w:rsidP="00532691">
            <w:pPr>
              <w:spacing w:line="276" w:lineRule="auto"/>
              <w:jc w:val="center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532691">
              <w:rPr>
                <w:rFonts w:ascii="Adobe Caslon Pro" w:hAnsi="Adobe Caslon Pro" w:cs="Arial"/>
                <w:sz w:val="24"/>
                <w:szCs w:val="24"/>
                <w:lang w:val="es-ES_tradnl" w:eastAsia="es-ES"/>
              </w:rPr>
              <w:t>Acciones</w:t>
            </w:r>
          </w:p>
        </w:tc>
      </w:tr>
      <w:tr w:rsidR="001B64E4" w:rsidRPr="00532691" w:rsidTr="001B64E4">
        <w:tc>
          <w:tcPr>
            <w:tcW w:w="4957" w:type="dxa"/>
            <w:hideMark/>
          </w:tcPr>
          <w:p w:rsidR="001B64E4" w:rsidRPr="001B64E4" w:rsidRDefault="001B64E4" w:rsidP="001B64E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Documento jurídico que acredite la propiedad o la posesión del predio donde instalará el proyecto.</w:t>
            </w:r>
          </w:p>
        </w:tc>
        <w:tc>
          <w:tcPr>
            <w:tcW w:w="5103" w:type="dxa"/>
            <w:gridSpan w:val="2"/>
          </w:tcPr>
          <w:p w:rsidR="001B64E4" w:rsidRPr="001B64E4" w:rsidRDefault="001B64E4" w:rsidP="001B64E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*</w:t>
            </w: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El contrato de arrendamiento con el Sr Angulo Montoya Silverio tiene erróneo el nombre del beneficiario quien es el arrendatario. Dice Félix Rodríguez Armida, lo que correspondería a otra persona física, con CURP Y RFC diferente.</w:t>
            </w:r>
          </w:p>
        </w:tc>
      </w:tr>
      <w:tr w:rsidR="001B64E4" w:rsidRPr="00532691" w:rsidTr="001B64E4">
        <w:tc>
          <w:tcPr>
            <w:tcW w:w="4957" w:type="dxa"/>
            <w:hideMark/>
          </w:tcPr>
          <w:p w:rsidR="001B64E4" w:rsidRPr="001B64E4" w:rsidRDefault="001B64E4" w:rsidP="001B64E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Listado de productores integrantes de la persona moral solicitante.</w:t>
            </w:r>
          </w:p>
        </w:tc>
        <w:tc>
          <w:tcPr>
            <w:tcW w:w="5103" w:type="dxa"/>
            <w:gridSpan w:val="2"/>
            <w:hideMark/>
          </w:tcPr>
          <w:p w:rsidR="001B64E4" w:rsidRPr="001B64E4" w:rsidRDefault="001B64E4" w:rsidP="001B64E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*</w:t>
            </w: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La firma del representante legal no corresponde a la de su INE.</w:t>
            </w: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br/>
            </w: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*</w:t>
            </w: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Asimismo, las firmas de Ramón Ahumada Espi</w:t>
            </w: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noza, Mariela Ahumada Espinoza y</w:t>
            </w: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 xml:space="preserve"> Marina Ahumada Espinoza, difieren con las plasmadas en las identificaciones oficiales</w:t>
            </w:r>
          </w:p>
        </w:tc>
      </w:tr>
      <w:tr w:rsidR="001B64E4" w:rsidRPr="00532691" w:rsidTr="001B64E4">
        <w:tc>
          <w:tcPr>
            <w:tcW w:w="4957" w:type="dxa"/>
            <w:hideMark/>
          </w:tcPr>
          <w:p w:rsidR="001B64E4" w:rsidRPr="001B64E4" w:rsidRDefault="001B64E4" w:rsidP="001B64E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Recibo o factura original del beneficiario que ampare el monto del incentivo y que cumple con los requisitos fiscales.</w:t>
            </w:r>
          </w:p>
        </w:tc>
        <w:tc>
          <w:tcPr>
            <w:tcW w:w="5103" w:type="dxa"/>
            <w:gridSpan w:val="2"/>
            <w:hideMark/>
          </w:tcPr>
          <w:p w:rsidR="001B64E4" w:rsidRPr="001B64E4" w:rsidRDefault="001B64E4" w:rsidP="001B64E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No se encontró el recibo fiscal, en su  lugar se encontró recibo simple, de acuerdo a lo indicado en el art. 119 II K</w:t>
            </w: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)</w:t>
            </w: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 xml:space="preserve"> de </w:t>
            </w: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Las Reglas de Operación de Fomento a l</w:t>
            </w: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a Agricultura</w:t>
            </w:r>
          </w:p>
        </w:tc>
      </w:tr>
      <w:tr w:rsidR="001B64E4" w:rsidRPr="00532691" w:rsidTr="001B64E4">
        <w:tc>
          <w:tcPr>
            <w:tcW w:w="4957" w:type="dxa"/>
            <w:hideMark/>
          </w:tcPr>
          <w:p w:rsidR="001B64E4" w:rsidRPr="001B64E4" w:rsidRDefault="001B64E4" w:rsidP="001B64E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Visita de verificación final.</w:t>
            </w:r>
          </w:p>
        </w:tc>
        <w:tc>
          <w:tcPr>
            <w:tcW w:w="5103" w:type="dxa"/>
            <w:gridSpan w:val="2"/>
            <w:hideMark/>
          </w:tcPr>
          <w:p w:rsidR="001B64E4" w:rsidRPr="001B64E4" w:rsidRDefault="001B64E4" w:rsidP="001B64E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1B64E4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Contiene error, ya que tiene  fecha de suscripción del 01-feb-2017.</w:t>
            </w:r>
          </w:p>
        </w:tc>
      </w:tr>
    </w:tbl>
    <w:p w:rsidR="00532691" w:rsidRPr="00532691" w:rsidRDefault="00532691" w:rsidP="00532691">
      <w:pPr>
        <w:spacing w:after="0" w:line="240" w:lineRule="auto"/>
        <w:jc w:val="both"/>
        <w:rPr>
          <w:rFonts w:ascii="Adobe Caslon Pro" w:eastAsia="MS Mincho" w:hAnsi="Adobe Caslon Pro" w:cs="Arial"/>
          <w:sz w:val="10"/>
          <w:szCs w:val="10"/>
          <w:lang w:val="es-ES_tradnl" w:eastAsia="es-ES"/>
        </w:rPr>
      </w:pPr>
    </w:p>
    <w:p w:rsidR="00532691" w:rsidRPr="00532691" w:rsidRDefault="00532691" w:rsidP="00532691">
      <w:pPr>
        <w:spacing w:after="0" w:line="276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bookmarkStart w:id="0" w:name="_GoBack"/>
      <w:bookmarkEnd w:id="0"/>
    </w:p>
    <w:p w:rsidR="00B26EE3" w:rsidRPr="00532691" w:rsidRDefault="00B26EE3" w:rsidP="00B26EE3">
      <w:pPr>
        <w:spacing w:before="240" w:line="360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El estatus de las áreas de oportunidad, se dan a conocer conforme a lo dispuesto en los numerales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5.4, 5.7 y 5.11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 Políticas; 6.7, 6.13, 6.18, y 6.23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Manual de Políticas y Procedimientos para el Seguimiento Normativo y la Revisión de Expedientes, de los Programas Operados por la Dirección General Adjunta de Promoción de Negocios y Coordinación Regional; inciso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j)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numeral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4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, del Manual de Procedimientos de Operación de los componentes de Mezcla de Recursos, a fin de que cuente con elementos que le permitan dar seguimiento a las áreas de oportunidad determinadas, o en su caso, determinar las acciones que se consideren procedentes.</w:t>
      </w:r>
    </w:p>
    <w:p w:rsidR="001D243D" w:rsidRDefault="00620522"/>
    <w:sectPr w:rsidR="001D243D" w:rsidSect="008D221F">
      <w:headerReference w:type="default" r:id="rId7"/>
      <w:footerReference w:type="even" r:id="rId8"/>
      <w:footerReference w:type="default" r:id="rId9"/>
      <w:pgSz w:w="12240" w:h="15840"/>
      <w:pgMar w:top="2552" w:right="758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22" w:rsidRDefault="00620522">
      <w:pPr>
        <w:spacing w:after="0" w:line="240" w:lineRule="auto"/>
      </w:pPr>
      <w:r>
        <w:separator/>
      </w:r>
    </w:p>
  </w:endnote>
  <w:endnote w:type="continuationSeparator" w:id="0">
    <w:p w:rsidR="00620522" w:rsidRDefault="0062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Default="00520C3F" w:rsidP="003C7F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92E" w:rsidRDefault="00620522" w:rsidP="000139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Pr="0001392E" w:rsidRDefault="00520C3F" w:rsidP="003C7F95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01392E">
      <w:rPr>
        <w:rStyle w:val="Nmerodepgina"/>
        <w:sz w:val="16"/>
        <w:szCs w:val="16"/>
      </w:rPr>
      <w:fldChar w:fldCharType="begin"/>
    </w:r>
    <w:r w:rsidRPr="0001392E">
      <w:rPr>
        <w:rStyle w:val="Nmerodepgina"/>
        <w:sz w:val="16"/>
        <w:szCs w:val="16"/>
      </w:rPr>
      <w:instrText xml:space="preserve">PAGE  </w:instrText>
    </w:r>
    <w:r w:rsidRPr="0001392E">
      <w:rPr>
        <w:rStyle w:val="Nmerodepgina"/>
        <w:sz w:val="16"/>
        <w:szCs w:val="16"/>
      </w:rPr>
      <w:fldChar w:fldCharType="separate"/>
    </w:r>
    <w:r w:rsidR="00B26EE3">
      <w:rPr>
        <w:rStyle w:val="Nmerodepgina"/>
        <w:noProof/>
        <w:sz w:val="16"/>
        <w:szCs w:val="16"/>
      </w:rPr>
      <w:t>2</w:t>
    </w:r>
    <w:r w:rsidRPr="0001392E">
      <w:rPr>
        <w:rStyle w:val="Nmerodepgina"/>
        <w:sz w:val="16"/>
        <w:szCs w:val="16"/>
      </w:rPr>
      <w:fldChar w:fldCharType="end"/>
    </w:r>
  </w:p>
  <w:p w:rsidR="0001392E" w:rsidRDefault="00620522" w:rsidP="000139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22" w:rsidRDefault="00620522">
      <w:pPr>
        <w:spacing w:after="0" w:line="240" w:lineRule="auto"/>
      </w:pPr>
      <w:r>
        <w:separator/>
      </w:r>
    </w:p>
  </w:footnote>
  <w:footnote w:type="continuationSeparator" w:id="0">
    <w:p w:rsidR="00620522" w:rsidRDefault="0062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56" w:rsidRDefault="00520C3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8BCA19" wp14:editId="6BD50CAD">
          <wp:simplePos x="0" y="0"/>
          <wp:positionH relativeFrom="page">
            <wp:align>right</wp:align>
          </wp:positionH>
          <wp:positionV relativeFrom="paragraph">
            <wp:posOffset>-432591</wp:posOffset>
          </wp:positionV>
          <wp:extent cx="7774656" cy="1012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CORPORA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56" cy="1012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6162"/>
    <w:multiLevelType w:val="hybridMultilevel"/>
    <w:tmpl w:val="EA9E6D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1092"/>
    <w:multiLevelType w:val="hybridMultilevel"/>
    <w:tmpl w:val="F020C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1"/>
    <w:rsid w:val="001B64E4"/>
    <w:rsid w:val="00276FA5"/>
    <w:rsid w:val="002A59A9"/>
    <w:rsid w:val="00520C3F"/>
    <w:rsid w:val="00532691"/>
    <w:rsid w:val="006118D8"/>
    <w:rsid w:val="00620522"/>
    <w:rsid w:val="00B26EE3"/>
    <w:rsid w:val="00C30005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012"/>
  <w15:chartTrackingRefBased/>
  <w15:docId w15:val="{8A1FAA93-5598-4900-A7A0-EEBB2D6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3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691"/>
  </w:style>
  <w:style w:type="paragraph" w:styleId="Piedepgina">
    <w:name w:val="footer"/>
    <w:basedOn w:val="Normal"/>
    <w:link w:val="PiedepginaCar"/>
    <w:uiPriority w:val="99"/>
    <w:semiHidden/>
    <w:unhideWhenUsed/>
    <w:rsid w:val="0053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691"/>
  </w:style>
  <w:style w:type="table" w:styleId="Tablaconcuadrcula">
    <w:name w:val="Table Grid"/>
    <w:basedOn w:val="Tablanormal"/>
    <w:rsid w:val="00532691"/>
    <w:pPr>
      <w:spacing w:after="0" w:line="240" w:lineRule="auto"/>
    </w:pPr>
    <w:rPr>
      <w:rFonts w:ascii="Cambria" w:eastAsia="MS Mincho" w:hAnsi="Cambr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532691"/>
  </w:style>
  <w:style w:type="paragraph" w:styleId="Prrafodelista">
    <w:name w:val="List Paragraph"/>
    <w:basedOn w:val="Normal"/>
    <w:uiPriority w:val="34"/>
    <w:qFormat/>
    <w:rsid w:val="0053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5</cp:revision>
  <dcterms:created xsi:type="dcterms:W3CDTF">2018-09-10T17:58:00Z</dcterms:created>
  <dcterms:modified xsi:type="dcterms:W3CDTF">2018-09-10T21:04:00Z</dcterms:modified>
</cp:coreProperties>
</file>