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AA" w:rsidRPr="00632AF1" w:rsidRDefault="00A633E9" w:rsidP="00A76B1B">
      <w:pPr>
        <w:rPr>
          <w:rFonts w:ascii="Arial Narrow" w:hAnsi="Arial Narrow"/>
          <w:b/>
          <w:sz w:val="32"/>
        </w:rPr>
      </w:pPr>
      <w:r w:rsidRPr="00632AF1">
        <w:rPr>
          <w:rFonts w:ascii="Arial Narrow" w:hAnsi="Arial Narrow"/>
          <w:b/>
          <w:sz w:val="32"/>
        </w:rPr>
        <w:t>2010-2016</w:t>
      </w:r>
    </w:p>
    <w:p w:rsidR="00A633E9" w:rsidRPr="00632AF1" w:rsidRDefault="00A633E9" w:rsidP="00A633E9">
      <w:pPr>
        <w:jc w:val="both"/>
        <w:rPr>
          <w:rFonts w:ascii="Arial Narrow" w:hAnsi="Arial Narrow"/>
          <w:sz w:val="24"/>
        </w:rPr>
      </w:pPr>
      <w:r w:rsidRPr="00632AF1">
        <w:rPr>
          <w:rFonts w:ascii="Arial Narrow" w:hAnsi="Arial Narrow"/>
          <w:sz w:val="24"/>
        </w:rPr>
        <w:t xml:space="preserve">De los ejercicios de 2010 a 2012 se practicaron 13 auditorías, los órganos fiscalizadores determinaron 48 observaciones, dando como resultado una afectación de $361,800.20 miles de pesos, al respecto </w:t>
      </w:r>
      <w:r w:rsidRPr="00632AF1">
        <w:rPr>
          <w:rFonts w:ascii="Arial Narrow" w:hAnsi="Arial Narrow"/>
          <w:b/>
          <w:bCs/>
          <w:sz w:val="24"/>
        </w:rPr>
        <w:t xml:space="preserve">el área responsable en turno </w:t>
      </w:r>
      <w:r w:rsidRPr="00632AF1">
        <w:rPr>
          <w:rFonts w:ascii="Arial Narrow" w:hAnsi="Arial Narrow"/>
          <w:sz w:val="24"/>
        </w:rPr>
        <w:t xml:space="preserve">atendió 8 observaciones, por la cantidad de $49,109.90 miles de pesos, mismas que representan el 16% de </w:t>
      </w:r>
      <w:proofErr w:type="spellStart"/>
      <w:r w:rsidRPr="00632AF1">
        <w:rPr>
          <w:rFonts w:ascii="Arial Narrow" w:hAnsi="Arial Narrow"/>
          <w:sz w:val="24"/>
        </w:rPr>
        <w:t>solventación</w:t>
      </w:r>
      <w:proofErr w:type="spellEnd"/>
      <w:r w:rsidRPr="00632AF1">
        <w:rPr>
          <w:rFonts w:ascii="Arial Narrow" w:hAnsi="Arial Narrow"/>
          <w:sz w:val="24"/>
        </w:rPr>
        <w:t>, el 84% restante fue turnado por los auditores que realizaron las auditorías al área jurídica de esa Institución, para Procedimiento Resarcitorio.</w:t>
      </w:r>
    </w:p>
    <w:p w:rsidR="00A633E9" w:rsidRPr="00632AF1" w:rsidRDefault="00A633E9" w:rsidP="00A633E9">
      <w:pPr>
        <w:jc w:val="both"/>
        <w:rPr>
          <w:rFonts w:ascii="Arial Narrow" w:hAnsi="Arial Narrow"/>
          <w:sz w:val="24"/>
        </w:rPr>
      </w:pPr>
    </w:p>
    <w:p w:rsidR="00632AF1" w:rsidRPr="00632AF1" w:rsidRDefault="00A633E9" w:rsidP="00632AF1">
      <w:pPr>
        <w:jc w:val="both"/>
        <w:rPr>
          <w:rFonts w:ascii="Arial Narrow" w:hAnsi="Arial Narrow"/>
        </w:rPr>
      </w:pPr>
      <w:r w:rsidRPr="00632AF1">
        <w:rPr>
          <w:rFonts w:ascii="Arial Narrow" w:hAnsi="Arial Narrow"/>
          <w:sz w:val="24"/>
        </w:rPr>
        <w:t xml:space="preserve">De los ejercicios de 2013 a 2016, la GSNPA coordinó los requerimientos de 33 auditorías practicadas por los órganos fiscalizadores (1 por la TESOFE de la SHCP, 12 por OIC de la FND, 1 por la CNBV, 1 por OIC SAGARPA y 1 auditoría interna; mismas que se encuentran solventadas al 100%, las 17 restantes corresponden a la Auditoría Superior de la Federación (ASF)) en donde determinaron 61 observaciones, de las cuales se </w:t>
      </w:r>
      <w:proofErr w:type="spellStart"/>
      <w:r w:rsidRPr="00632AF1">
        <w:rPr>
          <w:rFonts w:ascii="Arial Narrow" w:hAnsi="Arial Narrow"/>
          <w:sz w:val="24"/>
        </w:rPr>
        <w:t>solventación</w:t>
      </w:r>
      <w:proofErr w:type="spellEnd"/>
      <w:r w:rsidRPr="00632AF1">
        <w:rPr>
          <w:rFonts w:ascii="Arial Narrow" w:hAnsi="Arial Narrow"/>
          <w:sz w:val="24"/>
        </w:rPr>
        <w:t xml:space="preserve"> 56  (92%) y las 5 restantes (8%), se encuentran en</w:t>
      </w:r>
      <w:r w:rsidR="00632AF1" w:rsidRPr="00632AF1">
        <w:rPr>
          <w:rFonts w:ascii="Arial Narrow" w:hAnsi="Arial Narrow"/>
          <w:sz w:val="24"/>
        </w:rPr>
        <w:t xml:space="preserve"> proceso de atención por la ASF.</w:t>
      </w:r>
      <w:r w:rsidRPr="00A633E9">
        <w:tab/>
      </w:r>
    </w:p>
    <w:tbl>
      <w:tblPr>
        <w:tblW w:w="10219" w:type="dxa"/>
        <w:tblInd w:w="-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51"/>
        <w:gridCol w:w="1310"/>
        <w:gridCol w:w="1317"/>
        <w:gridCol w:w="1233"/>
        <w:gridCol w:w="1556"/>
        <w:gridCol w:w="1698"/>
        <w:gridCol w:w="1026"/>
      </w:tblGrid>
      <w:tr w:rsidR="00FD619E" w:rsidRPr="00FD619E" w:rsidTr="00FD619E">
        <w:trPr>
          <w:trHeight w:val="63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Auditorias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Auditorías sin observaciones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Total Observaciones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Monto (miles de pesos)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# observaciones solventadas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Monto solventado (miles de pesos)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% solventado </w:t>
            </w:r>
          </w:p>
        </w:tc>
      </w:tr>
      <w:tr w:rsidR="00FD619E" w:rsidRPr="00FD619E" w:rsidTr="00FD619E">
        <w:trPr>
          <w:trHeight w:val="31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2010-2012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361,800.20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  49,109.90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16%</w:t>
            </w:r>
          </w:p>
        </w:tc>
      </w:tr>
      <w:tr w:rsidR="00FD619E" w:rsidRPr="00FD619E" w:rsidTr="00FD619E">
        <w:trPr>
          <w:trHeight w:val="31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2013-2016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    -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              -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92%</w:t>
            </w:r>
          </w:p>
        </w:tc>
      </w:tr>
      <w:tr w:rsidR="00FD619E" w:rsidRPr="00FD619E" w:rsidTr="00FD619E">
        <w:trPr>
          <w:trHeight w:val="31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22%</w:t>
            </w:r>
          </w:p>
        </w:tc>
      </w:tr>
      <w:tr w:rsidR="00FD619E" w:rsidRPr="00FD619E" w:rsidTr="00FD619E">
        <w:trPr>
          <w:trHeight w:val="414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Pliegos de Observación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413,589.61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223,723.09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9E" w:rsidRPr="00FD619E" w:rsidRDefault="00FD619E" w:rsidP="00FD6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19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54%</w:t>
            </w:r>
          </w:p>
        </w:tc>
      </w:tr>
    </w:tbl>
    <w:p w:rsidR="00632AF1" w:rsidRDefault="00632AF1" w:rsidP="00B11F93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6"/>
        </w:rPr>
      </w:pPr>
    </w:p>
    <w:p w:rsidR="00632AF1" w:rsidRDefault="00632AF1" w:rsidP="00B11F93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6"/>
        </w:rPr>
      </w:pPr>
    </w:p>
    <w:p w:rsidR="008957AA" w:rsidRDefault="00B11F93" w:rsidP="00B11F93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</w:pPr>
      <w:r w:rsidRPr="00632AF1"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  <w:t xml:space="preserve">Respecto a las 5 observaciones pendientes de atender, se encuentran dentro de las 8 auditorías practicadas por la ASF, de las cuales  se determinaron 19 pliegos de observación por un monto de $413,589.61 miles de pesos, se solventó $223,723.09 miles de pesos , que representa el 54%, es importante señalar que </w:t>
      </w:r>
      <w:r w:rsidRPr="00632AF1">
        <w:rPr>
          <w:rFonts w:ascii="Arial Narrow" w:eastAsiaTheme="minorEastAsia" w:hAnsi="Arial Narrow" w:cstheme="minorBidi"/>
          <w:b/>
          <w:color w:val="000000" w:themeColor="text1"/>
          <w:kern w:val="24"/>
          <w:szCs w:val="26"/>
        </w:rPr>
        <w:t>se tiene la posibilidad de solventar $</w:t>
      </w:r>
      <w:r w:rsidRPr="00632AF1">
        <w:rPr>
          <w:rFonts w:ascii="Arial Narrow" w:eastAsiaTheme="minorEastAsia" w:hAnsi="Arial Narrow" w:cstheme="minorBidi"/>
          <w:b/>
          <w:color w:val="000000"/>
          <w:kern w:val="24"/>
          <w:szCs w:val="26"/>
        </w:rPr>
        <w:t>147,475.32</w:t>
      </w:r>
      <w:r w:rsidRPr="00632AF1">
        <w:rPr>
          <w:rFonts w:ascii="Arial Narrow" w:eastAsiaTheme="minorEastAsia" w:hAnsi="Arial Narrow" w:cstheme="minorBidi"/>
          <w:b/>
          <w:color w:val="000000" w:themeColor="text1"/>
          <w:kern w:val="24"/>
          <w:szCs w:val="26"/>
        </w:rPr>
        <w:t xml:space="preserve">  miles de pesos, que representa el 35% adicional, con una posible totalidad del 89%</w:t>
      </w:r>
      <w:r w:rsidRPr="00632AF1"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  <w:t xml:space="preserve">, y el restante se </w:t>
      </w:r>
      <w:r w:rsidR="00632AF1" w:rsidRPr="00632AF1"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  <w:t>envió</w:t>
      </w:r>
      <w:r w:rsidRPr="00632AF1"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  <w:t xml:space="preserve"> por parte de la DEAFPOER de la FND al área jurídica de la SADER anteriormente SAGARPA, para Procedimiento Resarcitorio.</w:t>
      </w:r>
    </w:p>
    <w:p w:rsidR="008957AA" w:rsidRDefault="008957AA" w:rsidP="00B11F93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</w:pPr>
    </w:p>
    <w:p w:rsidR="008957AA" w:rsidRDefault="008957AA" w:rsidP="00B11F93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Cs w:val="26"/>
        </w:rPr>
      </w:pPr>
    </w:p>
    <w:tbl>
      <w:tblPr>
        <w:tblpPr w:leftFromText="141" w:rightFromText="141" w:vertAnchor="text" w:horzAnchor="margin" w:tblpY="168"/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51"/>
        <w:gridCol w:w="1360"/>
        <w:gridCol w:w="1317"/>
        <w:gridCol w:w="1289"/>
        <w:gridCol w:w="1360"/>
        <w:gridCol w:w="1660"/>
      </w:tblGrid>
      <w:tr w:rsidR="00527D3B" w:rsidRPr="00527D3B" w:rsidTr="00527D3B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Periodo del Ejercicio Fiscal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Auditorias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Auditorías sin observaciones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Total Observaciones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# observaciones solventadas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Monto (miles de pesos)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Monto solventado (miles de pesos)</w:t>
            </w:r>
          </w:p>
        </w:tc>
      </w:tr>
      <w:tr w:rsidR="00527D3B" w:rsidRPr="00527D3B" w:rsidTr="00527D3B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2015-2017 (ASF)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227,425.19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    3,099.83 </w:t>
            </w:r>
          </w:p>
        </w:tc>
      </w:tr>
      <w:tr w:rsidR="00527D3B" w:rsidRPr="00527D3B" w:rsidTr="00527D3B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Porcentaje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40%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75%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1%</w:t>
            </w:r>
          </w:p>
        </w:tc>
      </w:tr>
      <w:tr w:rsidR="00527D3B" w:rsidRPr="00527D3B" w:rsidTr="00527D3B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2015-2017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227,425.19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$                 3,099.83 </w:t>
            </w:r>
          </w:p>
        </w:tc>
      </w:tr>
      <w:tr w:rsidR="00527D3B" w:rsidRPr="00527D3B" w:rsidTr="00527D3B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Porcentaje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22%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93%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D3B" w:rsidRPr="00527D3B" w:rsidRDefault="00527D3B" w:rsidP="00527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7D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1%</w:t>
            </w:r>
          </w:p>
        </w:tc>
      </w:tr>
    </w:tbl>
    <w:p w:rsidR="008957AA" w:rsidRDefault="008957AA">
      <w:pPr>
        <w:rPr>
          <w:rFonts w:ascii="Arial Narrow" w:eastAsiaTheme="minorEastAsia" w:hAnsi="Arial Narrow"/>
          <w:color w:val="000000" w:themeColor="text1"/>
          <w:kern w:val="24"/>
          <w:sz w:val="24"/>
          <w:szCs w:val="26"/>
          <w:lang w:eastAsia="es-MX"/>
        </w:rPr>
      </w:pPr>
      <w:r>
        <w:rPr>
          <w:rFonts w:ascii="Arial Narrow" w:eastAsiaTheme="minorEastAsia" w:hAnsi="Arial Narrow"/>
          <w:color w:val="000000" w:themeColor="text1"/>
          <w:kern w:val="24"/>
          <w:szCs w:val="26"/>
        </w:rPr>
        <w:br w:type="page"/>
      </w:r>
    </w:p>
    <w:p w:rsidR="008957AA" w:rsidRPr="008957AA" w:rsidRDefault="008957AA" w:rsidP="008957AA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b/>
          <w:color w:val="000000" w:themeColor="text1"/>
          <w:kern w:val="24"/>
          <w:sz w:val="28"/>
          <w:szCs w:val="26"/>
        </w:rPr>
      </w:pPr>
      <w:r w:rsidRPr="008957AA">
        <w:rPr>
          <w:rFonts w:ascii="Arial Narrow" w:eastAsiaTheme="minorEastAsia" w:hAnsi="Arial Narrow" w:cstheme="minorBidi"/>
          <w:b/>
          <w:color w:val="000000" w:themeColor="text1"/>
          <w:kern w:val="24"/>
          <w:sz w:val="28"/>
          <w:szCs w:val="26"/>
        </w:rPr>
        <w:lastRenderedPageBreak/>
        <w:t>AUDITORÍAS PENDIENTES</w:t>
      </w:r>
    </w:p>
    <w:p w:rsidR="008957AA" w:rsidRDefault="00C97EA9" w:rsidP="008957AA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r w:rsidRPr="008957AA">
        <w:rPr>
          <w:noProof/>
        </w:rPr>
        <w:drawing>
          <wp:anchor distT="0" distB="0" distL="114300" distR="114300" simplePos="0" relativeHeight="251658240" behindDoc="0" locked="0" layoutInCell="1" allowOverlap="1" wp14:anchorId="5054971F" wp14:editId="583672E7">
            <wp:simplePos x="0" y="0"/>
            <wp:positionH relativeFrom="margin">
              <wp:posOffset>-318135</wp:posOffset>
            </wp:positionH>
            <wp:positionV relativeFrom="margin">
              <wp:posOffset>443230</wp:posOffset>
            </wp:positionV>
            <wp:extent cx="6252845" cy="2924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957AA" w:rsidRDefault="008957AA" w:rsidP="008957AA">
      <w:pPr>
        <w:pStyle w:val="NormalWeb"/>
        <w:spacing w:before="0" w:beforeAutospacing="0" w:after="0" w:afterAutospacing="0"/>
        <w:jc w:val="center"/>
        <w:rPr>
          <w:b/>
        </w:rPr>
      </w:pPr>
    </w:p>
    <w:p w:rsidR="00B11F93" w:rsidRPr="008957AA" w:rsidRDefault="00B11F93" w:rsidP="008957AA">
      <w:pPr>
        <w:pStyle w:val="NormalWeb"/>
        <w:spacing w:before="0" w:beforeAutospacing="0" w:after="0" w:afterAutospacing="0"/>
        <w:jc w:val="both"/>
        <w:rPr>
          <w:b/>
        </w:rPr>
      </w:pPr>
    </w:p>
    <w:p w:rsidR="00D10955" w:rsidRDefault="00580C62" w:rsidP="00580C6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</w:t>
      </w:r>
      <w:r w:rsidRPr="00580C62">
        <w:rPr>
          <w:rFonts w:ascii="Arial Narrow" w:hAnsi="Arial Narrow"/>
          <w:sz w:val="24"/>
        </w:rPr>
        <w:t xml:space="preserve"> proporcionó información para la </w:t>
      </w:r>
      <w:proofErr w:type="spellStart"/>
      <w:r w:rsidRPr="00580C62">
        <w:rPr>
          <w:rFonts w:ascii="Arial Narrow" w:hAnsi="Arial Narrow"/>
          <w:sz w:val="24"/>
        </w:rPr>
        <w:t>solventación</w:t>
      </w:r>
      <w:proofErr w:type="spellEnd"/>
      <w:r w:rsidRPr="00580C62">
        <w:rPr>
          <w:rFonts w:ascii="Arial Narrow" w:hAnsi="Arial Narrow"/>
          <w:sz w:val="24"/>
        </w:rPr>
        <w:t xml:space="preserve"> de</w:t>
      </w:r>
      <w:r>
        <w:rPr>
          <w:rFonts w:ascii="Arial Narrow" w:hAnsi="Arial Narrow"/>
          <w:sz w:val="24"/>
        </w:rPr>
        <w:t xml:space="preserve"> los</w:t>
      </w:r>
      <w:r w:rsidRPr="00580C62">
        <w:rPr>
          <w:rFonts w:ascii="Arial Narrow" w:hAnsi="Arial Narrow"/>
          <w:sz w:val="24"/>
        </w:rPr>
        <w:t xml:space="preserve"> 2 Pliegos de Observación a la ASF</w:t>
      </w:r>
      <w:r>
        <w:rPr>
          <w:rFonts w:ascii="Arial Narrow" w:hAnsi="Arial Narrow"/>
          <w:sz w:val="24"/>
        </w:rPr>
        <w:t xml:space="preserve"> de la auditoría 339-DE, con respecto a la auditoría 296-DE el pliego de observaciones con clave de acción </w:t>
      </w:r>
      <w:r w:rsidRPr="00580C62">
        <w:rPr>
          <w:rFonts w:ascii="Arial Narrow" w:hAnsi="Arial Narrow"/>
          <w:sz w:val="24"/>
        </w:rPr>
        <w:t>16-0-08100-12-0296-06-005</w:t>
      </w:r>
      <w:r>
        <w:rPr>
          <w:rFonts w:ascii="Arial Narrow" w:hAnsi="Arial Narrow"/>
          <w:sz w:val="24"/>
        </w:rPr>
        <w:t>, por un monto de</w:t>
      </w:r>
      <w:r w:rsidR="00C97EA9">
        <w:rPr>
          <w:rFonts w:ascii="Arial Narrow" w:hAnsi="Arial Narrow"/>
          <w:sz w:val="24"/>
        </w:rPr>
        <w:t xml:space="preserve"> $7,107.43 miles de pesos, se</w:t>
      </w:r>
      <w:r>
        <w:rPr>
          <w:rFonts w:ascii="Arial Narrow" w:hAnsi="Arial Narrow"/>
          <w:sz w:val="24"/>
        </w:rPr>
        <w:t xml:space="preserve"> solventó </w:t>
      </w:r>
      <w:r w:rsidR="00C97EA9">
        <w:rPr>
          <w:rFonts w:ascii="Arial Narrow" w:hAnsi="Arial Narrow"/>
          <w:sz w:val="24"/>
        </w:rPr>
        <w:t xml:space="preserve">la cantidad de 2,307.43 miles de pesos </w:t>
      </w:r>
      <w:r>
        <w:rPr>
          <w:rFonts w:ascii="Arial Narrow" w:hAnsi="Arial Narrow"/>
          <w:sz w:val="24"/>
        </w:rPr>
        <w:t xml:space="preserve">y el restante se envió al jurídico de la SADER, anteriormente SAGARPA, con oficio número </w:t>
      </w:r>
      <w:r w:rsidRPr="00580C62">
        <w:rPr>
          <w:rFonts w:ascii="Arial Narrow" w:hAnsi="Arial Narrow"/>
          <w:sz w:val="24"/>
        </w:rPr>
        <w:t>DGAPNCR/DEAFPOER/SCAPOER/GFPER/289/2018</w:t>
      </w:r>
      <w:r>
        <w:rPr>
          <w:rFonts w:ascii="Arial Narrow" w:hAnsi="Arial Narrow"/>
          <w:sz w:val="24"/>
        </w:rPr>
        <w:t>, sin resp</w:t>
      </w:r>
      <w:r w:rsidR="00C97EA9">
        <w:rPr>
          <w:rFonts w:ascii="Arial Narrow" w:hAnsi="Arial Narrow"/>
          <w:sz w:val="24"/>
        </w:rPr>
        <w:t xml:space="preserve">onsabilidad para la Financiera; del pliego de observaciones con </w:t>
      </w:r>
      <w:r w:rsidR="00C97EA9" w:rsidRPr="00C97EA9">
        <w:rPr>
          <w:rFonts w:ascii="Arial Narrow" w:hAnsi="Arial Narrow"/>
          <w:sz w:val="24"/>
        </w:rPr>
        <w:t>Clave 16-0-08100-12-0296-06-009</w:t>
      </w:r>
      <w:r w:rsidR="00C97EA9">
        <w:rPr>
          <w:rFonts w:ascii="Arial Narrow" w:hAnsi="Arial Narrow"/>
          <w:sz w:val="24"/>
        </w:rPr>
        <w:t xml:space="preserve">, </w:t>
      </w:r>
      <w:r w:rsidR="002A65BC">
        <w:rPr>
          <w:rFonts w:ascii="Arial Narrow" w:hAnsi="Arial Narrow"/>
          <w:sz w:val="24"/>
        </w:rPr>
        <w:t>el área de seguimiento de la ASF</w:t>
      </w:r>
      <w:r w:rsidR="00C97EA9">
        <w:rPr>
          <w:rFonts w:ascii="Arial Narrow" w:hAnsi="Arial Narrow"/>
          <w:sz w:val="24"/>
        </w:rPr>
        <w:t xml:space="preserve"> notificó mediante oficio número </w:t>
      </w:r>
      <w:r w:rsidR="00C97EA9" w:rsidRPr="00C97EA9">
        <w:rPr>
          <w:rFonts w:ascii="Arial Narrow" w:hAnsi="Arial Narrow"/>
          <w:sz w:val="24"/>
        </w:rPr>
        <w:t>DGS"A"/NSPO/029/2018</w:t>
      </w:r>
      <w:r w:rsidR="00C97EA9">
        <w:rPr>
          <w:rFonts w:ascii="Arial Narrow" w:hAnsi="Arial Narrow"/>
          <w:sz w:val="24"/>
        </w:rPr>
        <w:t xml:space="preserve">, la “No </w:t>
      </w:r>
      <w:proofErr w:type="spellStart"/>
      <w:r w:rsidR="00C97EA9">
        <w:rPr>
          <w:rFonts w:ascii="Arial Narrow" w:hAnsi="Arial Narrow"/>
          <w:sz w:val="24"/>
        </w:rPr>
        <w:t>solventación</w:t>
      </w:r>
      <w:proofErr w:type="spellEnd"/>
      <w:r w:rsidR="00C97EA9">
        <w:rPr>
          <w:rFonts w:ascii="Arial Narrow" w:hAnsi="Arial Narrow"/>
          <w:sz w:val="24"/>
        </w:rPr>
        <w:t xml:space="preserve"> del Pliego de Observaciones”</w:t>
      </w:r>
      <w:r w:rsidR="002A65BC">
        <w:rPr>
          <w:rFonts w:ascii="Arial Narrow" w:hAnsi="Arial Narrow"/>
          <w:sz w:val="24"/>
        </w:rPr>
        <w:t>, al respecto se sostuvo una reunión c</w:t>
      </w:r>
      <w:r w:rsidR="002A65BC" w:rsidRPr="002A65BC">
        <w:rPr>
          <w:rFonts w:ascii="Arial Narrow" w:hAnsi="Arial Narrow"/>
          <w:sz w:val="24"/>
        </w:rPr>
        <w:t xml:space="preserve">on la finalidad de solicitar una aclaración por la no </w:t>
      </w:r>
      <w:proofErr w:type="spellStart"/>
      <w:r w:rsidR="002A65BC" w:rsidRPr="002A65BC">
        <w:rPr>
          <w:rFonts w:ascii="Arial Narrow" w:hAnsi="Arial Narrow"/>
          <w:sz w:val="24"/>
        </w:rPr>
        <w:t>solventaci</w:t>
      </w:r>
      <w:r w:rsidR="002A65BC">
        <w:rPr>
          <w:rFonts w:ascii="Arial Narrow" w:hAnsi="Arial Narrow"/>
          <w:sz w:val="24"/>
        </w:rPr>
        <w:t>ón</w:t>
      </w:r>
      <w:proofErr w:type="spellEnd"/>
      <w:r w:rsidR="002A65BC">
        <w:rPr>
          <w:rFonts w:ascii="Arial Narrow" w:hAnsi="Arial Narrow"/>
          <w:sz w:val="24"/>
        </w:rPr>
        <w:t xml:space="preserve"> del pliego de observaciones</w:t>
      </w:r>
      <w:r w:rsidR="002A65BC" w:rsidRPr="002A65BC">
        <w:rPr>
          <w:rFonts w:ascii="Arial Narrow" w:hAnsi="Arial Narrow"/>
          <w:sz w:val="24"/>
        </w:rPr>
        <w:t xml:space="preserve">,  se envió </w:t>
      </w:r>
      <w:r w:rsidR="002A65BC">
        <w:rPr>
          <w:rFonts w:ascii="Arial Narrow" w:hAnsi="Arial Narrow"/>
          <w:sz w:val="24"/>
        </w:rPr>
        <w:t xml:space="preserve">mediante </w:t>
      </w:r>
      <w:r w:rsidR="002A65BC" w:rsidRPr="002A65BC">
        <w:rPr>
          <w:rFonts w:ascii="Arial Narrow" w:hAnsi="Arial Narrow"/>
          <w:sz w:val="24"/>
        </w:rPr>
        <w:t>oficio DGAPNCR/DEPNIFR/GSNPA/143/2018, donde se remite nuevamente la información  presentada al inicio de este año 2018 en disco formato DVD, con la finalidad de solventar la acción antes mencionada.</w:t>
      </w:r>
    </w:p>
    <w:p w:rsidR="008218BD" w:rsidRPr="008957AA" w:rsidRDefault="008218BD" w:rsidP="00580C6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La ASF ejecutó la auditoría 312-DE, Cuenta Pública 2017, </w:t>
      </w:r>
      <w:r w:rsidR="00713F77">
        <w:rPr>
          <w:rFonts w:ascii="Arial Narrow" w:hAnsi="Arial Narrow"/>
          <w:sz w:val="24"/>
        </w:rPr>
        <w:t xml:space="preserve">notificó los resultados finales por un monto de $92,933.84 miles de pesos, al respecto la Gerencia está elaborando la respuesta para su </w:t>
      </w:r>
      <w:proofErr w:type="spellStart"/>
      <w:r w:rsidR="00713F77">
        <w:rPr>
          <w:rFonts w:ascii="Arial Narrow" w:hAnsi="Arial Narrow"/>
          <w:sz w:val="24"/>
        </w:rPr>
        <w:t>solventación</w:t>
      </w:r>
      <w:proofErr w:type="spellEnd"/>
      <w:r w:rsidR="00713F77">
        <w:rPr>
          <w:rFonts w:ascii="Arial Narrow" w:hAnsi="Arial Narrow"/>
          <w:sz w:val="24"/>
        </w:rPr>
        <w:t xml:space="preserve">. </w:t>
      </w:r>
    </w:p>
    <w:sectPr w:rsidR="008218BD" w:rsidRPr="00895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E9"/>
    <w:rsid w:val="002752CA"/>
    <w:rsid w:val="002A65BC"/>
    <w:rsid w:val="00527D3B"/>
    <w:rsid w:val="00580C62"/>
    <w:rsid w:val="00632AF1"/>
    <w:rsid w:val="00713F77"/>
    <w:rsid w:val="007775E6"/>
    <w:rsid w:val="008218BD"/>
    <w:rsid w:val="008957AA"/>
    <w:rsid w:val="008D2B18"/>
    <w:rsid w:val="00A633E9"/>
    <w:rsid w:val="00A76B1B"/>
    <w:rsid w:val="00B11F93"/>
    <w:rsid w:val="00B3558C"/>
    <w:rsid w:val="00B95FCA"/>
    <w:rsid w:val="00C97EA9"/>
    <w:rsid w:val="00D10955"/>
    <w:rsid w:val="00D56048"/>
    <w:rsid w:val="00DE36EB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F85FF-DD14-474E-BEF5-468467BE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4</cp:revision>
  <cp:lastPrinted>2019-02-05T18:23:00Z</cp:lastPrinted>
  <dcterms:created xsi:type="dcterms:W3CDTF">2019-01-16T23:06:00Z</dcterms:created>
  <dcterms:modified xsi:type="dcterms:W3CDTF">2019-02-05T22:15:00Z</dcterms:modified>
</cp:coreProperties>
</file>