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DD" w:rsidRPr="00787BDD" w:rsidRDefault="00787BDD" w:rsidP="00B545C5">
      <w:pPr>
        <w:jc w:val="center"/>
        <w:rPr>
          <w:rFonts w:ascii="Montserrat Light" w:hAnsi="Montserrat Light"/>
          <w:b/>
          <w:color w:val="000000" w:themeColor="text1"/>
          <w:sz w:val="30"/>
          <w:szCs w:val="28"/>
        </w:rPr>
      </w:pPr>
      <w:bookmarkStart w:id="0" w:name="_GoBack"/>
      <w:bookmarkEnd w:id="0"/>
    </w:p>
    <w:p w:rsidR="00B545C5" w:rsidRPr="00787BDD" w:rsidRDefault="00B545C5" w:rsidP="00B545C5">
      <w:pPr>
        <w:jc w:val="center"/>
        <w:rPr>
          <w:rFonts w:ascii="Montserrat Light" w:hAnsi="Montserrat Light"/>
          <w:b/>
          <w:color w:val="000000" w:themeColor="text1"/>
          <w:sz w:val="32"/>
          <w:szCs w:val="28"/>
        </w:rPr>
      </w:pPr>
      <w:r w:rsidRPr="00787BDD">
        <w:rPr>
          <w:rFonts w:ascii="Montserrat Light" w:hAnsi="Montserrat Light"/>
          <w:b/>
          <w:color w:val="000000" w:themeColor="text1"/>
          <w:sz w:val="32"/>
          <w:szCs w:val="28"/>
        </w:rPr>
        <w:t>AUDITORÍAS PR</w:t>
      </w:r>
      <w:r w:rsidR="00F7194D">
        <w:rPr>
          <w:rFonts w:ascii="Montserrat Light" w:hAnsi="Montserrat Light"/>
          <w:b/>
          <w:color w:val="000000" w:themeColor="text1"/>
          <w:sz w:val="32"/>
          <w:szCs w:val="28"/>
        </w:rPr>
        <w:t>A</w:t>
      </w:r>
      <w:r w:rsidRPr="00787BDD">
        <w:rPr>
          <w:rFonts w:ascii="Montserrat Light" w:hAnsi="Montserrat Light"/>
          <w:b/>
          <w:color w:val="000000" w:themeColor="text1"/>
          <w:sz w:val="32"/>
          <w:szCs w:val="28"/>
        </w:rPr>
        <w:t>CTICADAS EN LOS EJERCICIOS DE 2010-2016.</w:t>
      </w:r>
    </w:p>
    <w:p w:rsidR="00B545C5" w:rsidRPr="00B545C5" w:rsidRDefault="00B545C5" w:rsidP="00B545C5">
      <w:pPr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B545C5" w:rsidRPr="00B545C5" w:rsidRDefault="00B545C5" w:rsidP="00787BDD">
      <w:pPr>
        <w:spacing w:line="276" w:lineRule="auto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De los ejercicios de 2010 a 2012 se practicaron 13 auditorías, los órganos fiscalizadores determinaron 48 observaciones, dando como resultado una afectación de $361,800.20 miles de pesos, al respecto el área responsable en turno atendió 8 observaciones, por la cantidad de $49,109.90 miles de pesos, mismas que representan el 16% de </w:t>
      </w:r>
      <w:proofErr w:type="spellStart"/>
      <w:r w:rsidRPr="00B545C5">
        <w:rPr>
          <w:rFonts w:ascii="Montserrat Light" w:hAnsi="Montserrat Light"/>
          <w:color w:val="000000" w:themeColor="text1"/>
          <w:sz w:val="22"/>
          <w:szCs w:val="22"/>
        </w:rPr>
        <w:t>solventación</w:t>
      </w:r>
      <w:proofErr w:type="spellEnd"/>
      <w:r w:rsidRPr="00B545C5">
        <w:rPr>
          <w:rFonts w:ascii="Montserrat Light" w:hAnsi="Montserrat Light"/>
          <w:color w:val="000000" w:themeColor="text1"/>
          <w:sz w:val="22"/>
          <w:szCs w:val="22"/>
        </w:rPr>
        <w:t>, el 84% restante fue turnado por los auditores que realizaron las auditorías al área jurídica de esa Institución, para Procedimiento Resarcitorio.</w:t>
      </w:r>
    </w:p>
    <w:p w:rsidR="00B545C5" w:rsidRPr="00B545C5" w:rsidRDefault="00B545C5" w:rsidP="00787BDD">
      <w:pPr>
        <w:spacing w:line="276" w:lineRule="auto"/>
        <w:jc w:val="both"/>
        <w:rPr>
          <w:rFonts w:ascii="Montserrat Light" w:hAnsi="Montserrat Light"/>
          <w:color w:val="000000" w:themeColor="text1"/>
          <w:sz w:val="22"/>
          <w:szCs w:val="22"/>
        </w:rPr>
      </w:pPr>
    </w:p>
    <w:p w:rsidR="00B545C5" w:rsidRDefault="00B545C5" w:rsidP="00787BDD">
      <w:pPr>
        <w:spacing w:line="276" w:lineRule="auto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De los ejercicios de 2013 a 2016, la GSNPA coordinó los requerimientos de 33 auditorías practicadas por los órganos fiscalizadores (1 por la TESOFE de la SHCP, 12 por OIC de la FND, 1 por la CNBV, 1 por OIC SAGARPA y 1 auditoría interna; mismas que se encuentran solventadas al 100%, las 17 restantes corresponden a la Auditoría Superior de la Federación (ASF)) en donde determinaron 61 observaciones, de las cuales se </w:t>
      </w:r>
      <w:proofErr w:type="spellStart"/>
      <w:r w:rsidRPr="00B545C5">
        <w:rPr>
          <w:rFonts w:ascii="Montserrat Light" w:hAnsi="Montserrat Light"/>
          <w:color w:val="000000" w:themeColor="text1"/>
          <w:sz w:val="22"/>
          <w:szCs w:val="22"/>
        </w:rPr>
        <w:t>solventación</w:t>
      </w:r>
      <w:proofErr w:type="spellEnd"/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 56  (92%) y las 5 restantes (8%), se encuentran en proceso de atención por la ASF.</w:t>
      </w:r>
    </w:p>
    <w:p w:rsidR="00B545C5" w:rsidRDefault="00B545C5" w:rsidP="00B545C5">
      <w:pPr>
        <w:jc w:val="both"/>
        <w:rPr>
          <w:rFonts w:ascii="Montserrat Light" w:hAnsi="Montserrat Light"/>
          <w:color w:val="000000" w:themeColor="text1"/>
          <w:sz w:val="22"/>
          <w:szCs w:val="22"/>
        </w:rPr>
      </w:pPr>
    </w:p>
    <w:p w:rsidR="00B545C5" w:rsidRDefault="00B545C5" w:rsidP="00B545C5">
      <w:pPr>
        <w:jc w:val="both"/>
        <w:rPr>
          <w:rFonts w:ascii="Montserrat Light" w:hAnsi="Montserrat Light"/>
          <w:color w:val="000000" w:themeColor="text1"/>
          <w:sz w:val="22"/>
          <w:szCs w:val="22"/>
        </w:rPr>
      </w:pPr>
    </w:p>
    <w:p w:rsidR="00B545C5" w:rsidRPr="00632AF1" w:rsidRDefault="00B545C5" w:rsidP="00B545C5">
      <w:pPr>
        <w:jc w:val="both"/>
        <w:rPr>
          <w:rFonts w:ascii="Arial Narrow" w:hAnsi="Arial Narrow"/>
        </w:rPr>
      </w:pPr>
      <w:r w:rsidRPr="00A633E9">
        <w:tab/>
      </w:r>
    </w:p>
    <w:tbl>
      <w:tblPr>
        <w:tblW w:w="99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123"/>
        <w:gridCol w:w="1418"/>
        <w:gridCol w:w="1418"/>
        <w:gridCol w:w="1341"/>
        <w:gridCol w:w="1200"/>
        <w:gridCol w:w="1351"/>
        <w:gridCol w:w="895"/>
      </w:tblGrid>
      <w:tr w:rsidR="00B545C5" w:rsidRPr="00B545C5" w:rsidTr="00B545C5">
        <w:trPr>
          <w:trHeight w:val="40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B545C5" w:rsidRPr="00B545C5" w:rsidRDefault="00B545C5" w:rsidP="00B545C5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>Periodo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 xml:space="preserve">Auditorias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 xml:space="preserve">Auditorías sin observaciones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 xml:space="preserve">Total Observaciones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>Monto (miles de pesos)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 xml:space="preserve"># observaciones solventadas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  <w:t>Monto solventado (miles de pesos)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0"/>
              </w:rPr>
              <w:t xml:space="preserve">% solventado </w:t>
            </w:r>
          </w:p>
        </w:tc>
      </w:tr>
      <w:tr w:rsidR="00B545C5" w:rsidRPr="00B545C5" w:rsidTr="00B545C5">
        <w:trPr>
          <w:trHeight w:val="2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000000" w:themeColor="text1"/>
                <w:sz w:val="20"/>
                <w:szCs w:val="22"/>
              </w:rPr>
              <w:t>2010-2012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 $  361,800.20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 $               49,109.90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  <w:r w:rsidRPr="00787BDD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16</w:t>
            </w:r>
            <w:r w:rsidRPr="00B545C5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%</w:t>
            </w:r>
          </w:p>
        </w:tc>
      </w:tr>
      <w:tr w:rsidR="00B545C5" w:rsidRPr="00B545C5" w:rsidTr="00B545C5">
        <w:trPr>
          <w:trHeight w:val="2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000000" w:themeColor="text1"/>
                <w:sz w:val="20"/>
                <w:szCs w:val="22"/>
              </w:rPr>
              <w:t>2013-2016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 $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 $                           -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92%</w:t>
            </w:r>
          </w:p>
        </w:tc>
      </w:tr>
      <w:tr w:rsidR="00B545C5" w:rsidRPr="00B545C5" w:rsidTr="00B545C5">
        <w:trPr>
          <w:trHeight w:val="70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000000" w:themeColor="text1"/>
                <w:sz w:val="20"/>
                <w:szCs w:val="22"/>
              </w:rPr>
              <w:t>2015-2016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 -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22%</w:t>
            </w:r>
          </w:p>
        </w:tc>
      </w:tr>
      <w:tr w:rsidR="00B545C5" w:rsidRPr="00B545C5" w:rsidTr="00B545C5">
        <w:trPr>
          <w:trHeight w:val="26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000000" w:themeColor="text1"/>
                <w:sz w:val="20"/>
                <w:szCs w:val="22"/>
              </w:rPr>
              <w:t xml:space="preserve">Pliegos de Observación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 $  413,589.61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 xml:space="preserve"> $             223,723.09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0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0"/>
              </w:rPr>
              <w:t>54%</w:t>
            </w:r>
          </w:p>
        </w:tc>
      </w:tr>
    </w:tbl>
    <w:p w:rsidR="00B545C5" w:rsidRPr="00B545C5" w:rsidRDefault="00B545C5" w:rsidP="00B545C5">
      <w:pPr>
        <w:pStyle w:val="NormalWeb"/>
        <w:spacing w:before="0" w:beforeAutospacing="0" w:after="0" w:afterAutospacing="0"/>
        <w:jc w:val="both"/>
        <w:rPr>
          <w:rFonts w:ascii="Montserrat Light" w:eastAsiaTheme="minorHAnsi" w:hAnsi="Montserrat Light" w:cstheme="minorBidi"/>
          <w:color w:val="000000" w:themeColor="text1"/>
          <w:sz w:val="22"/>
          <w:szCs w:val="22"/>
          <w:lang w:eastAsia="en-US"/>
        </w:rPr>
      </w:pPr>
    </w:p>
    <w:p w:rsidR="00B545C5" w:rsidRDefault="00B545C5" w:rsidP="00B545C5">
      <w:pPr>
        <w:pStyle w:val="NormalWeb"/>
        <w:spacing w:before="0" w:beforeAutospacing="0" w:after="0" w:afterAutospacing="0"/>
        <w:jc w:val="both"/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6"/>
        </w:rPr>
      </w:pPr>
    </w:p>
    <w:p w:rsidR="00B545C5" w:rsidRPr="00B545C5" w:rsidRDefault="00B545C5" w:rsidP="00787BDD">
      <w:pPr>
        <w:pStyle w:val="NormalWeb"/>
        <w:spacing w:before="0" w:beforeAutospacing="0" w:after="0" w:afterAutospacing="0" w:line="276" w:lineRule="auto"/>
        <w:jc w:val="both"/>
        <w:rPr>
          <w:rFonts w:ascii="Montserrat Light" w:eastAsiaTheme="minorHAnsi" w:hAnsi="Montserrat Light" w:cstheme="minorBidi"/>
          <w:color w:val="000000" w:themeColor="text1"/>
          <w:sz w:val="22"/>
          <w:szCs w:val="22"/>
          <w:lang w:eastAsia="en-US"/>
        </w:rPr>
      </w:pPr>
      <w:r w:rsidRPr="00B545C5">
        <w:rPr>
          <w:rFonts w:ascii="Montserrat Light" w:eastAsiaTheme="minorHAnsi" w:hAnsi="Montserrat Light" w:cstheme="minorBidi"/>
          <w:color w:val="000000" w:themeColor="text1"/>
          <w:sz w:val="22"/>
          <w:szCs w:val="22"/>
          <w:lang w:eastAsia="en-US"/>
        </w:rPr>
        <w:t xml:space="preserve">Respecto a las 5 observaciones pendientes de atender, se encuentran dentro de las 8 auditorías practicadas por la ASF, de las cuales  se determinaron 19 pliegos de observación por un monto de $413,589.61 miles de pesos, se solventó $223,723.09 miles de pesos , que representa el 54%, es importante señalar que se tiene la posibilidad de solventar $147,475.32  miles de pesos, </w:t>
      </w:r>
      <w:r w:rsidRPr="00B545C5">
        <w:rPr>
          <w:rFonts w:ascii="Montserrat Light" w:eastAsiaTheme="minorHAnsi" w:hAnsi="Montserrat Light" w:cstheme="minorBidi"/>
          <w:color w:val="000000" w:themeColor="text1"/>
          <w:sz w:val="22"/>
          <w:szCs w:val="22"/>
          <w:lang w:eastAsia="en-US"/>
        </w:rPr>
        <w:lastRenderedPageBreak/>
        <w:t>que representa el 35% adicional, con una posible totalidad del 89%, y el restante se envió por parte de la DEAFPOER de la FND al área jurídica de la SADER anteriormente SAGARPA, para Procedimiento Resarcitorio.</w:t>
      </w:r>
    </w:p>
    <w:p w:rsidR="00B545C5" w:rsidRDefault="00B545C5" w:rsidP="00B545C5">
      <w:pPr>
        <w:pStyle w:val="NormalWeb"/>
        <w:spacing w:before="0" w:beforeAutospacing="0" w:after="0" w:afterAutospacing="0"/>
        <w:jc w:val="both"/>
        <w:rPr>
          <w:rFonts w:ascii="Montserrat Light" w:eastAsiaTheme="minorHAnsi" w:hAnsi="Montserrat Light" w:cstheme="minorBidi"/>
          <w:color w:val="000000" w:themeColor="text1"/>
          <w:sz w:val="22"/>
          <w:szCs w:val="22"/>
          <w:lang w:eastAsia="en-US"/>
        </w:rPr>
      </w:pPr>
    </w:p>
    <w:p w:rsidR="00787BDD" w:rsidRPr="00B545C5" w:rsidRDefault="00787BDD" w:rsidP="00B545C5">
      <w:pPr>
        <w:pStyle w:val="NormalWeb"/>
        <w:spacing w:before="0" w:beforeAutospacing="0" w:after="0" w:afterAutospacing="0"/>
        <w:jc w:val="both"/>
        <w:rPr>
          <w:rFonts w:ascii="Montserrat Light" w:eastAsiaTheme="minorHAnsi" w:hAnsi="Montserrat Light" w:cstheme="minorBidi"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68"/>
        <w:tblW w:w="9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220"/>
        <w:gridCol w:w="1544"/>
        <w:gridCol w:w="1544"/>
        <w:gridCol w:w="1544"/>
        <w:gridCol w:w="1238"/>
        <w:gridCol w:w="1507"/>
      </w:tblGrid>
      <w:tr w:rsidR="00B545C5" w:rsidRPr="00B545C5" w:rsidTr="009B5EFC">
        <w:trPr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>Periodo del Ejercicio Fiscal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 xml:space="preserve">Auditorias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 xml:space="preserve">Auditorías sin observaciones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 xml:space="preserve">Total Observaciones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 xml:space="preserve"># observaciones solventadas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>Monto (miles de pesos)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b/>
                <w:color w:val="FFFFFF" w:themeColor="background1"/>
                <w:sz w:val="20"/>
                <w:szCs w:val="22"/>
              </w:rPr>
              <w:t>Monto solventado (miles de pesos)</w:t>
            </w:r>
          </w:p>
        </w:tc>
      </w:tr>
      <w:tr w:rsidR="00B545C5" w:rsidRPr="00B545C5" w:rsidTr="009B5EFC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2015-2017 (ASF)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 $      227,425.19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 $                 3,099.83 </w:t>
            </w:r>
          </w:p>
        </w:tc>
      </w:tr>
      <w:tr w:rsidR="00B545C5" w:rsidRPr="00B545C5" w:rsidTr="009B5EFC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Porcentaje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40%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75%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1%</w:t>
            </w:r>
          </w:p>
        </w:tc>
      </w:tr>
      <w:tr w:rsidR="00B545C5" w:rsidRPr="00B545C5" w:rsidTr="009B5EFC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2015-2017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 $      227,425.19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 xml:space="preserve"> $                 3,099.83 </w:t>
            </w:r>
          </w:p>
        </w:tc>
      </w:tr>
      <w:tr w:rsidR="00B545C5" w:rsidRPr="00B545C5" w:rsidTr="009B5EFC">
        <w:trPr>
          <w:trHeight w:val="3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Porcentaje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22%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93%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5C5" w:rsidRPr="00B545C5" w:rsidRDefault="00B545C5" w:rsidP="009B5EFC">
            <w:pPr>
              <w:jc w:val="center"/>
              <w:rPr>
                <w:rFonts w:ascii="Montserrat Light" w:hAnsi="Montserrat Light"/>
                <w:color w:val="000000" w:themeColor="text1"/>
                <w:sz w:val="20"/>
                <w:szCs w:val="22"/>
              </w:rPr>
            </w:pPr>
            <w:r w:rsidRPr="00B545C5">
              <w:rPr>
                <w:rFonts w:ascii="Montserrat Light" w:hAnsi="Montserrat Light"/>
                <w:color w:val="000000" w:themeColor="text1"/>
                <w:sz w:val="20"/>
                <w:szCs w:val="22"/>
              </w:rPr>
              <w:t>1%</w:t>
            </w:r>
          </w:p>
        </w:tc>
      </w:tr>
    </w:tbl>
    <w:p w:rsidR="00B545C5" w:rsidRPr="00B545C5" w:rsidRDefault="00B545C5" w:rsidP="00B545C5">
      <w:pPr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Default="00787BDD" w:rsidP="00B545C5">
      <w:pPr>
        <w:jc w:val="center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B545C5" w:rsidRPr="00787BDD" w:rsidRDefault="00B545C5" w:rsidP="00F7194D">
      <w:pPr>
        <w:spacing w:line="276" w:lineRule="auto"/>
        <w:jc w:val="center"/>
        <w:rPr>
          <w:rFonts w:ascii="Montserrat Light" w:hAnsi="Montserrat Light"/>
          <w:b/>
          <w:color w:val="000000" w:themeColor="text1"/>
          <w:sz w:val="32"/>
          <w:szCs w:val="28"/>
        </w:rPr>
      </w:pPr>
      <w:r w:rsidRPr="00787BDD">
        <w:rPr>
          <w:rFonts w:ascii="Montserrat Light" w:hAnsi="Montserrat Light"/>
          <w:b/>
          <w:color w:val="000000" w:themeColor="text1"/>
          <w:sz w:val="32"/>
          <w:szCs w:val="28"/>
        </w:rPr>
        <w:t>AUDITORÍAS PENDIENTES</w:t>
      </w:r>
    </w:p>
    <w:p w:rsidR="00787BDD" w:rsidRDefault="00787BDD" w:rsidP="00F7194D">
      <w:pPr>
        <w:spacing w:line="276" w:lineRule="auto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Pr="00B545C5" w:rsidRDefault="00787BDD" w:rsidP="00F7194D">
      <w:pPr>
        <w:spacing w:line="276" w:lineRule="auto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Se proporcionó información para la </w:t>
      </w:r>
      <w:proofErr w:type="spellStart"/>
      <w:r w:rsidRPr="00B545C5">
        <w:rPr>
          <w:rFonts w:ascii="Montserrat Light" w:hAnsi="Montserrat Light"/>
          <w:color w:val="000000" w:themeColor="text1"/>
          <w:sz w:val="22"/>
          <w:szCs w:val="22"/>
        </w:rPr>
        <w:t>solventación</w:t>
      </w:r>
      <w:proofErr w:type="spellEnd"/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 de los 2 Pliegos de Observación a la ASF de la auditoría 339-DE, con respecto a la auditoría 296-DE el pliego de observaciones con clave de acción 16-0-08100-12-0296-06-005, por un monto de $7,107.43 miles de pesos, se solventó la cantidad de 2,307.43 miles de pesos y el restante se envió al jurídico de la SADER, anteriormente SAGARPA, con oficio número DGAPNCR/DEAFPOER/SCAPOER/GFPER/289/2018, sin responsabilidad para la Financiera; del pliego de observaciones con Clave 16-0-08100-12-0296-06-009, el área de seguimiento de la ASF notificó mediante oficio número DGS"A"/NSPO/029/2018, la “No </w:t>
      </w:r>
      <w:proofErr w:type="spellStart"/>
      <w:r w:rsidRPr="00B545C5">
        <w:rPr>
          <w:rFonts w:ascii="Montserrat Light" w:hAnsi="Montserrat Light"/>
          <w:color w:val="000000" w:themeColor="text1"/>
          <w:sz w:val="22"/>
          <w:szCs w:val="22"/>
        </w:rPr>
        <w:t>solventación</w:t>
      </w:r>
      <w:proofErr w:type="spellEnd"/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 del Pliego de Observaciones”, al respecto se sostuvo una reunión con la finalidad de solicitar una aclaración por la no </w:t>
      </w:r>
      <w:proofErr w:type="spellStart"/>
      <w:r w:rsidRPr="00B545C5">
        <w:rPr>
          <w:rFonts w:ascii="Montserrat Light" w:hAnsi="Montserrat Light"/>
          <w:color w:val="000000" w:themeColor="text1"/>
          <w:sz w:val="22"/>
          <w:szCs w:val="22"/>
        </w:rPr>
        <w:t>solventación</w:t>
      </w:r>
      <w:proofErr w:type="spellEnd"/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 del pliego de observaciones,  se envió mediante oficio DGAPNCR/DEPNIFR/GSNPA/143/2018, donde se remite nuevamente la información  presentada al inicio de este año 2018 en disco formato DVD, con la finalidad de solventar la acción antes </w:t>
      </w:r>
      <w:proofErr w:type="spellStart"/>
      <w:r w:rsidRPr="00B545C5">
        <w:rPr>
          <w:rFonts w:ascii="Montserrat Light" w:hAnsi="Montserrat Light"/>
          <w:color w:val="000000" w:themeColor="text1"/>
          <w:sz w:val="22"/>
          <w:szCs w:val="22"/>
        </w:rPr>
        <w:t>mencionada.La</w:t>
      </w:r>
      <w:proofErr w:type="spellEnd"/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 ASF ejecutó la auditoría 312-DE, Cuenta Pública 2017, notificó los resultados finales por un monto de $92,933.84 miles de pesos, al respecto la Gerencia está elaborando la res</w:t>
      </w:r>
      <w:r>
        <w:rPr>
          <w:rFonts w:ascii="Montserrat Light" w:hAnsi="Montserrat Light"/>
          <w:color w:val="000000" w:themeColor="text1"/>
          <w:sz w:val="22"/>
          <w:szCs w:val="22"/>
        </w:rPr>
        <w:t xml:space="preserve">puesta para </w:t>
      </w:r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su </w:t>
      </w:r>
      <w:proofErr w:type="spellStart"/>
      <w:r w:rsidRPr="00B545C5">
        <w:rPr>
          <w:rFonts w:ascii="Montserrat Light" w:hAnsi="Montserrat Light"/>
          <w:color w:val="000000" w:themeColor="text1"/>
          <w:sz w:val="22"/>
          <w:szCs w:val="22"/>
        </w:rPr>
        <w:t>solventación</w:t>
      </w:r>
      <w:proofErr w:type="spellEnd"/>
      <w:r w:rsidRPr="00B545C5">
        <w:rPr>
          <w:rFonts w:ascii="Montserrat Light" w:hAnsi="Montserrat Light"/>
          <w:color w:val="000000" w:themeColor="text1"/>
          <w:sz w:val="22"/>
          <w:szCs w:val="22"/>
        </w:rPr>
        <w:t xml:space="preserve">. </w:t>
      </w:r>
    </w:p>
    <w:p w:rsidR="00787BDD" w:rsidRDefault="00787BDD" w:rsidP="00F7194D">
      <w:pPr>
        <w:spacing w:line="276" w:lineRule="auto"/>
        <w:jc w:val="both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Default="00787BDD" w:rsidP="00B545C5">
      <w:pPr>
        <w:jc w:val="center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Default="00787BDD" w:rsidP="00B545C5">
      <w:pPr>
        <w:jc w:val="center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Default="00787BDD" w:rsidP="00B00E0E">
      <w:pPr>
        <w:spacing w:line="276" w:lineRule="auto"/>
        <w:jc w:val="both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Default="00787BDD" w:rsidP="00B545C5">
      <w:pPr>
        <w:jc w:val="center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F7194D" w:rsidRDefault="00F7194D" w:rsidP="00B545C5">
      <w:pPr>
        <w:jc w:val="center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Default="00787BDD" w:rsidP="00F7194D">
      <w:pPr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Default="00787BDD" w:rsidP="00B545C5">
      <w:pPr>
        <w:jc w:val="center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tbl>
      <w:tblPr>
        <w:tblpPr w:leftFromText="141" w:rightFromText="141" w:vertAnchor="text" w:horzAnchor="margin" w:tblpXSpec="center" w:tblpY="-36"/>
        <w:tblW w:w="10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061"/>
        <w:gridCol w:w="981"/>
        <w:gridCol w:w="1675"/>
        <w:gridCol w:w="1612"/>
        <w:gridCol w:w="1799"/>
        <w:gridCol w:w="1488"/>
      </w:tblGrid>
      <w:tr w:rsidR="00F7194D" w:rsidRPr="00787BDD" w:rsidTr="00F7194D">
        <w:trPr>
          <w:trHeight w:val="812"/>
        </w:trPr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t>Núm. de Auditoría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Componente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t>Cuenta Pública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Monto Observado </w:t>
            </w: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br/>
            </w:r>
            <w:r w:rsidRPr="00787BDD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(miles de pesos)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Monto Solventado </w:t>
            </w: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br/>
            </w:r>
            <w:r w:rsidRPr="00787BDD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(miles de pesos)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Posible a Solventar </w:t>
            </w: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br/>
            </w:r>
            <w:r w:rsidRPr="00787BDD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(miles de pesos)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6228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t>Área Jurídica SAGARPA</w:t>
            </w:r>
            <w:r w:rsidRPr="00787BDD">
              <w:rPr>
                <w:rFonts w:ascii="Montserrat Light" w:eastAsia="Times New Roman" w:hAnsi="Montserrat Light" w:cs="Times New Roman"/>
                <w:b/>
                <w:bCs/>
                <w:color w:val="FFFFFF"/>
                <w:sz w:val="20"/>
                <w:szCs w:val="20"/>
                <w:lang w:eastAsia="es-MX"/>
              </w:rPr>
              <w:br/>
            </w:r>
            <w:r w:rsidRPr="00787BDD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s-MX"/>
              </w:rPr>
              <w:t>(miles de pesos)</w:t>
            </w:r>
          </w:p>
        </w:tc>
      </w:tr>
      <w:tr w:rsidR="00F7194D" w:rsidRPr="00787BDD" w:rsidTr="00F7194D">
        <w:trPr>
          <w:trHeight w:val="601"/>
        </w:trPr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339-DE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Programa de Productividad y Competitividad Agroalimentaria, Componente Productividad y Competitividad Agroalimentaria.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$18,431.86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$18,431.86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194D" w:rsidRPr="00787BDD" w:rsidTr="00F7194D">
        <w:trPr>
          <w:trHeight w:val="664"/>
        </w:trPr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94D" w:rsidRPr="00787BDD" w:rsidRDefault="00F7194D" w:rsidP="00F7194D">
            <w:pPr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94D" w:rsidRPr="00787BDD" w:rsidRDefault="00F7194D" w:rsidP="00F7194D">
            <w:pPr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94D" w:rsidRPr="00787BDD" w:rsidRDefault="00F7194D" w:rsidP="00F7194D">
            <w:pPr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$100,446.39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$71,330.19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$29,116.20</w:t>
            </w:r>
          </w:p>
        </w:tc>
      </w:tr>
      <w:tr w:rsidR="00F7194D" w:rsidRPr="00787BDD" w:rsidTr="00F7194D">
        <w:trPr>
          <w:trHeight w:val="464"/>
        </w:trPr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296-DE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Programa de Productividad y Competitividad Agroalimentaria. Productividad Agroalimentaria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$7,107.43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$2,307.43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F7194D" w:rsidRPr="00787BDD" w:rsidTr="00F7194D">
        <w:trPr>
          <w:trHeight w:val="548"/>
        </w:trPr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94D" w:rsidRPr="00787BDD" w:rsidRDefault="00F7194D" w:rsidP="00F7194D">
            <w:pPr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94D" w:rsidRPr="00787BDD" w:rsidRDefault="00F7194D" w:rsidP="00F7194D">
            <w:pPr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94D" w:rsidRPr="00787BDD" w:rsidRDefault="00F7194D" w:rsidP="00F7194D">
            <w:pPr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$57,713.27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$57,713.27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194D" w:rsidRPr="00787BDD" w:rsidTr="00F7194D">
        <w:trPr>
          <w:trHeight w:val="464"/>
        </w:trPr>
        <w:tc>
          <w:tcPr>
            <w:tcW w:w="3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F7194D" w:rsidRPr="00787BDD" w:rsidRDefault="00F7194D" w:rsidP="00F7194D">
            <w:pPr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$183,698.95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$2,307.43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$147,475.32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94D" w:rsidRPr="00787BDD" w:rsidRDefault="00F7194D" w:rsidP="00F7194D">
            <w:pPr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87BDD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$33,916.20</w:t>
            </w:r>
          </w:p>
        </w:tc>
      </w:tr>
    </w:tbl>
    <w:p w:rsidR="00787BDD" w:rsidRDefault="00787BDD" w:rsidP="00B545C5">
      <w:pPr>
        <w:jc w:val="center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787BDD" w:rsidRPr="00B545C5" w:rsidRDefault="00787BDD" w:rsidP="00B545C5">
      <w:pPr>
        <w:jc w:val="center"/>
        <w:rPr>
          <w:rFonts w:ascii="Montserrat Light" w:hAnsi="Montserrat Light"/>
          <w:b/>
          <w:color w:val="000000" w:themeColor="text1"/>
          <w:sz w:val="28"/>
          <w:szCs w:val="28"/>
        </w:rPr>
      </w:pPr>
    </w:p>
    <w:p w:rsidR="00B545C5" w:rsidRPr="00B545C5" w:rsidRDefault="00B545C5" w:rsidP="00787BDD">
      <w:pPr>
        <w:jc w:val="both"/>
        <w:rPr>
          <w:rFonts w:ascii="Montserrat Light" w:hAnsi="Montserrat Light"/>
          <w:color w:val="000000" w:themeColor="text1"/>
          <w:sz w:val="22"/>
          <w:szCs w:val="22"/>
        </w:rPr>
      </w:pPr>
    </w:p>
    <w:sectPr w:rsidR="00B545C5" w:rsidRPr="00B545C5" w:rsidSect="009D2B83">
      <w:headerReference w:type="default" r:id="rId6"/>
      <w:footerReference w:type="default" r:id="rId7"/>
      <w:pgSz w:w="12240" w:h="15840"/>
      <w:pgMar w:top="2268" w:right="1134" w:bottom="799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62" w:rsidRDefault="00E43462" w:rsidP="009D2B83">
      <w:r>
        <w:separator/>
      </w:r>
    </w:p>
  </w:endnote>
  <w:endnote w:type="continuationSeparator" w:id="0">
    <w:p w:rsidR="00E43462" w:rsidRDefault="00E43462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21675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:rsidR="00B00E0E" w:rsidRDefault="00B00E0E">
        <w:pPr>
          <w:pStyle w:val="Piedepgina"/>
          <w:jc w:val="center"/>
        </w:pPr>
        <w:r>
          <w:rPr>
            <w:noProof/>
            <w:lang w:eastAsia="es-MX"/>
          </w:rPr>
          <mc:AlternateContent>
            <mc:Choice Requires="wps">
              <w:drawing>
                <wp:inline distT="0" distB="0" distL="0" distR="0" wp14:anchorId="6F06C52F" wp14:editId="71C79395">
                  <wp:extent cx="5467350" cy="45085"/>
                  <wp:effectExtent l="9525" t="9525" r="0" b="2540"/>
                  <wp:docPr id="3" name="Decisió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E43BB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00E0E" w:rsidRPr="00B00E0E" w:rsidRDefault="00B00E0E">
        <w:pPr>
          <w:pStyle w:val="Piedepgina"/>
          <w:jc w:val="center"/>
          <w:rPr>
            <w:rFonts w:ascii="Century Gothic" w:hAnsi="Century Gothic"/>
            <w:sz w:val="18"/>
          </w:rPr>
        </w:pPr>
        <w:r w:rsidRPr="00B00E0E">
          <w:rPr>
            <w:rFonts w:ascii="Century Gothic" w:hAnsi="Century Gothic"/>
            <w:sz w:val="18"/>
          </w:rPr>
          <w:fldChar w:fldCharType="begin"/>
        </w:r>
        <w:r w:rsidRPr="00B00E0E">
          <w:rPr>
            <w:rFonts w:ascii="Century Gothic" w:hAnsi="Century Gothic"/>
            <w:sz w:val="18"/>
          </w:rPr>
          <w:instrText>PAGE    \* MERGEFORMAT</w:instrText>
        </w:r>
        <w:r w:rsidRPr="00B00E0E">
          <w:rPr>
            <w:rFonts w:ascii="Century Gothic" w:hAnsi="Century Gothic"/>
            <w:sz w:val="18"/>
          </w:rPr>
          <w:fldChar w:fldCharType="separate"/>
        </w:r>
        <w:r w:rsidR="007B0D61" w:rsidRPr="007B0D61">
          <w:rPr>
            <w:rFonts w:ascii="Century Gothic" w:hAnsi="Century Gothic"/>
            <w:noProof/>
            <w:sz w:val="18"/>
            <w:lang w:val="es-ES"/>
          </w:rPr>
          <w:t>3</w:t>
        </w:r>
        <w:r w:rsidRPr="00B00E0E">
          <w:rPr>
            <w:rFonts w:ascii="Century Gothic" w:hAnsi="Century Gothic"/>
            <w:sz w:val="18"/>
          </w:rPr>
          <w:fldChar w:fldCharType="end"/>
        </w:r>
      </w:p>
    </w:sdtContent>
  </w:sdt>
  <w:p w:rsidR="009D2B83" w:rsidRPr="009D2B83" w:rsidRDefault="009D2B83" w:rsidP="00362E3A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62" w:rsidRDefault="00E43462" w:rsidP="009D2B83">
      <w:r>
        <w:separator/>
      </w:r>
    </w:p>
  </w:footnote>
  <w:footnote w:type="continuationSeparator" w:id="0">
    <w:p w:rsidR="00E43462" w:rsidRDefault="00E43462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CD" w:rsidRPr="0046403C" w:rsidRDefault="00C445CD" w:rsidP="00C445CD">
    <w:pPr>
      <w:ind w:right="-518"/>
      <w:jc w:val="right"/>
      <w:rPr>
        <w:rFonts w:ascii="Georgia" w:hAnsi="Georgia"/>
        <w:b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944B78B" wp14:editId="2C41F556">
          <wp:simplePos x="0" y="0"/>
          <wp:positionH relativeFrom="page">
            <wp:posOffset>-187325</wp:posOffset>
          </wp:positionH>
          <wp:positionV relativeFrom="paragraph">
            <wp:posOffset>-715645</wp:posOffset>
          </wp:positionV>
          <wp:extent cx="7759720" cy="10096113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20" cy="1009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sz w:val="16"/>
        <w:szCs w:val="16"/>
      </w:rPr>
      <w:t xml:space="preserve">                                 </w:t>
    </w:r>
    <w:r w:rsidRPr="0046403C">
      <w:rPr>
        <w:rFonts w:ascii="Georgia" w:hAnsi="Georgia"/>
        <w:b/>
        <w:sz w:val="16"/>
        <w:szCs w:val="16"/>
      </w:rPr>
      <w:t xml:space="preserve">Dirección General Adjunta de Promoción de Negocios y </w:t>
    </w:r>
    <w:r>
      <w:rPr>
        <w:rFonts w:ascii="Georgia" w:hAnsi="Georgia"/>
        <w:b/>
        <w:sz w:val="16"/>
        <w:szCs w:val="16"/>
      </w:rPr>
      <w:t>Coordinación Regional (</w:t>
    </w:r>
    <w:r w:rsidRPr="0046403C">
      <w:rPr>
        <w:rFonts w:ascii="Georgia" w:hAnsi="Georgia"/>
        <w:b/>
        <w:sz w:val="16"/>
        <w:szCs w:val="16"/>
      </w:rPr>
      <w:t>DGAPNCR)</w:t>
    </w:r>
  </w:p>
  <w:p w:rsidR="00C445CD" w:rsidRPr="0046403C" w:rsidRDefault="00C445CD" w:rsidP="00C445CD">
    <w:pPr>
      <w:ind w:right="-518"/>
      <w:jc w:val="center"/>
      <w:rPr>
        <w:rFonts w:ascii="Georgia" w:hAnsi="Georgia"/>
        <w:b/>
        <w:sz w:val="16"/>
        <w:szCs w:val="16"/>
      </w:rPr>
    </w:pPr>
    <w:r>
      <w:rPr>
        <w:rFonts w:ascii="Georgia" w:hAnsi="Georgia"/>
        <w:b/>
        <w:sz w:val="16"/>
        <w:szCs w:val="16"/>
      </w:rPr>
      <w:t xml:space="preserve">                                                        </w:t>
    </w:r>
    <w:r w:rsidRPr="0046403C">
      <w:rPr>
        <w:rFonts w:ascii="Georgia" w:hAnsi="Georgia"/>
        <w:b/>
        <w:sz w:val="16"/>
        <w:szCs w:val="16"/>
      </w:rPr>
      <w:t>Dirección Ejecutiva de Promoción de Negocios con Int</w:t>
    </w:r>
    <w:r>
      <w:rPr>
        <w:rFonts w:ascii="Georgia" w:hAnsi="Georgia"/>
        <w:b/>
        <w:sz w:val="16"/>
        <w:szCs w:val="16"/>
      </w:rPr>
      <w:t xml:space="preserve">ermediarios Financieros Rurales </w:t>
    </w:r>
    <w:r w:rsidRPr="0046403C">
      <w:rPr>
        <w:rFonts w:ascii="Georgia" w:hAnsi="Georgia"/>
        <w:b/>
        <w:sz w:val="16"/>
        <w:szCs w:val="16"/>
      </w:rPr>
      <w:t>(DEPNIFR)</w:t>
    </w:r>
  </w:p>
  <w:p w:rsidR="009D2B83" w:rsidRDefault="00C445CD" w:rsidP="00C445CD">
    <w:pPr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96DB3AA" wp14:editId="00926F48">
          <wp:simplePos x="0" y="0"/>
          <wp:positionH relativeFrom="page">
            <wp:align>right</wp:align>
          </wp:positionH>
          <wp:positionV relativeFrom="paragraph">
            <wp:posOffset>461010</wp:posOffset>
          </wp:positionV>
          <wp:extent cx="7924197" cy="8924925"/>
          <wp:effectExtent l="0" t="0" r="635" b="0"/>
          <wp:wrapNone/>
          <wp:docPr id="122" name="Imagen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GENERA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4"/>
                  <a:stretch/>
                </pic:blipFill>
                <pic:spPr bwMode="auto">
                  <a:xfrm>
                    <a:off x="0" y="0"/>
                    <a:ext cx="7925536" cy="89264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b/>
        <w:sz w:val="16"/>
        <w:szCs w:val="16"/>
      </w:rPr>
      <w:t xml:space="preserve">                                                                                                       </w:t>
    </w:r>
    <w:r w:rsidRPr="0046403C">
      <w:rPr>
        <w:rFonts w:ascii="Georgia" w:hAnsi="Georgia"/>
        <w:b/>
        <w:sz w:val="16"/>
        <w:szCs w:val="16"/>
      </w:rPr>
      <w:t>Gerencia de Seguimiento</w:t>
    </w:r>
    <w:r>
      <w:rPr>
        <w:rFonts w:ascii="Georgia" w:hAnsi="Georgia"/>
        <w:b/>
        <w:sz w:val="16"/>
        <w:szCs w:val="16"/>
      </w:rPr>
      <w:t xml:space="preserve"> Normativo de Programas de Apoyo </w:t>
    </w:r>
    <w:r w:rsidRPr="0046403C">
      <w:rPr>
        <w:rFonts w:ascii="Georgia" w:hAnsi="Georgia"/>
        <w:b/>
        <w:sz w:val="16"/>
        <w:szCs w:val="16"/>
      </w:rPr>
      <w:t>(GSNPA)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C5CE5"/>
    <w:rsid w:val="001B788E"/>
    <w:rsid w:val="001E42B0"/>
    <w:rsid w:val="0023008B"/>
    <w:rsid w:val="002E777C"/>
    <w:rsid w:val="00356483"/>
    <w:rsid w:val="00362E3A"/>
    <w:rsid w:val="0053743F"/>
    <w:rsid w:val="005E74D5"/>
    <w:rsid w:val="00787BDD"/>
    <w:rsid w:val="007B0D61"/>
    <w:rsid w:val="007F0697"/>
    <w:rsid w:val="008345BB"/>
    <w:rsid w:val="00854B0D"/>
    <w:rsid w:val="00855A68"/>
    <w:rsid w:val="00885A77"/>
    <w:rsid w:val="00920D98"/>
    <w:rsid w:val="00957AF4"/>
    <w:rsid w:val="009D2B83"/>
    <w:rsid w:val="00A750DC"/>
    <w:rsid w:val="00B00E0E"/>
    <w:rsid w:val="00B37AB3"/>
    <w:rsid w:val="00B40BEC"/>
    <w:rsid w:val="00B545C5"/>
    <w:rsid w:val="00C445CD"/>
    <w:rsid w:val="00C86AC9"/>
    <w:rsid w:val="00E43462"/>
    <w:rsid w:val="00F20355"/>
    <w:rsid w:val="00F44A7F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59D8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semiHidden/>
    <w:unhideWhenUsed/>
    <w:rsid w:val="00B54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5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karen Itzayana Soriano Hernández</cp:lastModifiedBy>
  <cp:revision>3</cp:revision>
  <cp:lastPrinted>2019-02-05T22:07:00Z</cp:lastPrinted>
  <dcterms:created xsi:type="dcterms:W3CDTF">2019-02-05T19:38:00Z</dcterms:created>
  <dcterms:modified xsi:type="dcterms:W3CDTF">2019-02-05T22:10:00Z</dcterms:modified>
</cp:coreProperties>
</file>