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313D" w:rsidRDefault="00CA313D" w:rsidP="00172FFC">
      <w:pPr>
        <w:pBdr>
          <w:bottom w:val="thickThinSmallGap" w:sz="24" w:space="1" w:color="auto"/>
        </w:pBdr>
        <w:jc w:val="center"/>
        <w:outlineLvl w:val="0"/>
        <w:rPr>
          <w:rFonts w:eastAsia="Times New Roman"/>
          <w:b/>
          <w:bCs/>
          <w:lang w:eastAsia="es-ES"/>
        </w:rPr>
      </w:pPr>
      <w:bookmarkStart w:id="0" w:name="_Toc259880915"/>
      <w:bookmarkStart w:id="1" w:name="_GoBack"/>
      <w:bookmarkEnd w:id="1"/>
    </w:p>
    <w:p w:rsidR="003574A8" w:rsidRPr="00FF34EE" w:rsidRDefault="003574A8" w:rsidP="003574A8">
      <w:pPr>
        <w:pBdr>
          <w:bottom w:val="thickThinSmallGap" w:sz="24" w:space="1" w:color="auto"/>
        </w:pBdr>
        <w:outlineLvl w:val="0"/>
        <w:rPr>
          <w:rFonts w:eastAsia="Times New Roman"/>
          <w:b/>
          <w:bCs/>
          <w:lang w:eastAsia="es-ES"/>
        </w:rPr>
      </w:pPr>
      <w:r w:rsidRPr="00FF34EE">
        <w:rPr>
          <w:rFonts w:eastAsia="Times New Roman"/>
          <w:b/>
          <w:bCs/>
          <w:lang w:eastAsia="es-ES"/>
        </w:rPr>
        <w:t>PROGRAMA Institucional 2013-2018 de la Financiera Nacional de Desarrollo Agropecuario, Rural, Forestal y Pesquero.</w:t>
      </w:r>
    </w:p>
    <w:p w:rsidR="00CA313D" w:rsidRPr="00FF34EE" w:rsidRDefault="00CA313D" w:rsidP="00CA313D">
      <w:pPr>
        <w:rPr>
          <w:rFonts w:eastAsia="Times New Roman"/>
          <w:lang w:eastAsia="es-ES"/>
        </w:rPr>
      </w:pPr>
      <w:r w:rsidRPr="00FF34EE">
        <w:rPr>
          <w:rFonts w:eastAsia="Times New Roman"/>
          <w:lang w:eastAsia="es-ES"/>
        </w:rPr>
        <w:t>Al margen un logotipo que dice: Financiera Nacional de Desarrollo Agropecuario, Rural, Forestal y Pesquero.</w:t>
      </w:r>
    </w:p>
    <w:p w:rsidR="00CA313D" w:rsidRPr="00AE0D2E" w:rsidRDefault="00CA313D" w:rsidP="00CA313D">
      <w:pPr>
        <w:rPr>
          <w:bCs/>
        </w:rPr>
      </w:pPr>
    </w:p>
    <w:p w:rsidR="00CA313D" w:rsidRPr="00FF34EE" w:rsidRDefault="00CA313D" w:rsidP="00CA313D">
      <w:pPr>
        <w:rPr>
          <w:bCs/>
        </w:rPr>
      </w:pPr>
      <w:r w:rsidRPr="00FF34EE">
        <w:rPr>
          <w:bCs/>
        </w:rPr>
        <w:t>Con fundamento en los artículos 8 de la Ley Orgánica de la Financiera Nacional de Desarrollo Agropecuario, Rural, Forestal y Pesquero; 47, 48, 49 y 59 fracción II de la Ley Federal de las Entidades Paraestatales y 22 de su Reglamento; 22, 24, 28 y 29 de la Ley de Planeación, y en términos de lo establecido en el Plan Nacional de Desarrollo 2013-2018, el Programa Nacional de Financiamiento del Desarrollo 2013-2018 y del acuerdo 01/2013 por el que se emiten los Lineamientos para dictaminar y dar seguimiento a los programas derivados del Plan Nacional de Desarrollo 2013-2018, se publica el Programa Institucional 2013-2018 de la Financiera Nacional de Desarrollo Agropecuario, Rural, Forestal y Pesquero, aprobado por su H. Consejo Directivo en su tercera sesión extraordinaria celebrada el 29 de Abril de 2014 y por el C. Titular de la Secretaria de Hacienda y Crédito Público.</w:t>
      </w:r>
    </w:p>
    <w:p w:rsidR="00CA313D" w:rsidRPr="00FF34EE" w:rsidRDefault="00CA313D" w:rsidP="00CA313D">
      <w:pPr>
        <w:rPr>
          <w:bCs/>
        </w:rPr>
      </w:pPr>
    </w:p>
    <w:p w:rsidR="00E043FD" w:rsidRPr="00B47F47" w:rsidRDefault="00316D6E" w:rsidP="00B47F47">
      <w:pPr>
        <w:jc w:val="center"/>
        <w:rPr>
          <w:b/>
          <w:u w:val="single"/>
        </w:rPr>
      </w:pPr>
      <w:r w:rsidRPr="00B47F47">
        <w:rPr>
          <w:b/>
          <w:lang w:val="es-ES_tradnl" w:eastAsia="es-MX"/>
        </w:rPr>
        <w:t xml:space="preserve">PROGRAMA INSTITUCIONAL 2013-2018 DE LA </w:t>
      </w:r>
      <w:r w:rsidR="00AC2BA7" w:rsidRPr="00B47F47">
        <w:rPr>
          <w:b/>
          <w:lang w:val="es-ES_tradnl" w:eastAsia="es-MX"/>
        </w:rPr>
        <w:t>FINANCIERA NACIONAL DE DESARROLLO AGROPECUARIO, RURAL, FORESTAL Y PESQUERO</w:t>
      </w:r>
    </w:p>
    <w:p w:rsidR="009E4835" w:rsidRPr="00A51EFD" w:rsidRDefault="00CE7AFD" w:rsidP="00C21A75">
      <w:pPr>
        <w:pStyle w:val="Ttulo1"/>
      </w:pPr>
      <w:r w:rsidRPr="00A51EFD">
        <w:t>Diagnóstico</w:t>
      </w:r>
      <w:bookmarkEnd w:id="0"/>
    </w:p>
    <w:p w:rsidR="00A51EFD" w:rsidRPr="00A51EFD" w:rsidRDefault="00A51EFD" w:rsidP="00C21A75"/>
    <w:p w:rsidR="009E4835" w:rsidRPr="00C21A75" w:rsidRDefault="009E4835" w:rsidP="00C21A75">
      <w:pPr>
        <w:pStyle w:val="Ttulo3"/>
      </w:pPr>
      <w:r w:rsidRPr="00C21A75">
        <w:t>Introducción</w:t>
      </w:r>
    </w:p>
    <w:p w:rsidR="009E4835" w:rsidRPr="00C21A75" w:rsidRDefault="00A62901" w:rsidP="00C21A75">
      <w:r w:rsidRPr="00C21A75">
        <w:t xml:space="preserve">El sector agroalimentario y el desarrollo rural </w:t>
      </w:r>
      <w:r w:rsidR="00524080" w:rsidRPr="00C21A75">
        <w:t xml:space="preserve">históricamente se han considerado como </w:t>
      </w:r>
      <w:r w:rsidRPr="00C21A75">
        <w:t>áreas prioritarias en el diseño de políticas públicas a nivel local, nacional e internacional.</w:t>
      </w:r>
      <w:r w:rsidR="00524080" w:rsidRPr="00C21A75">
        <w:t xml:space="preserve"> Las razones de esta relevancia incorporan consideraci</w:t>
      </w:r>
      <w:r w:rsidR="00B47F47">
        <w:t>ones económicas y estratégicas.</w:t>
      </w:r>
    </w:p>
    <w:p w:rsidR="009E4835" w:rsidRPr="00C21A75" w:rsidRDefault="00EC7870" w:rsidP="00C21A75">
      <w:r>
        <w:t>Es conocido</w:t>
      </w:r>
      <w:r w:rsidR="009E4835" w:rsidRPr="00C21A75">
        <w:t xml:space="preserve"> que la aportación del sector primario dentro de la producción total es menor </w:t>
      </w:r>
      <w:r w:rsidR="00A818C4" w:rsidRPr="00C21A75">
        <w:t xml:space="preserve">a la que </w:t>
      </w:r>
      <w:r w:rsidR="009E4835" w:rsidRPr="00C21A75">
        <w:t>presentan otras actividades económicas, como s</w:t>
      </w:r>
      <w:r w:rsidR="00A818C4" w:rsidRPr="00C21A75">
        <w:t>o</w:t>
      </w:r>
      <w:r w:rsidR="00892632" w:rsidRPr="00C21A75">
        <w:t xml:space="preserve">n la industria y los servicios; </w:t>
      </w:r>
      <w:r w:rsidR="009E4835" w:rsidRPr="00C21A75">
        <w:t xml:space="preserve">la producción y el abasto oportuno de los alimentos </w:t>
      </w:r>
      <w:r w:rsidR="00151BD1" w:rsidRPr="00C21A75">
        <w:t>son</w:t>
      </w:r>
      <w:r w:rsidR="009E4835" w:rsidRPr="00C21A75">
        <w:t xml:space="preserve"> elemento</w:t>
      </w:r>
      <w:r w:rsidR="00151BD1" w:rsidRPr="00C21A75">
        <w:t>s</w:t>
      </w:r>
      <w:r w:rsidR="009E4835" w:rsidRPr="00C21A75">
        <w:t xml:space="preserve"> indispensable</w:t>
      </w:r>
      <w:r w:rsidR="00151BD1" w:rsidRPr="00C21A75">
        <w:t>s</w:t>
      </w:r>
      <w:r w:rsidR="009E4835" w:rsidRPr="00C21A75">
        <w:t xml:space="preserve"> para lograr la estabilidad y el desarrollo</w:t>
      </w:r>
      <w:r w:rsidR="00A818C4" w:rsidRPr="00C21A75">
        <w:t xml:space="preserve"> armónico de cualquier sociedad. A</w:t>
      </w:r>
      <w:r w:rsidR="009E4835" w:rsidRPr="00C21A75">
        <w:t>demás</w:t>
      </w:r>
      <w:r w:rsidR="00B7657E">
        <w:t>,</w:t>
      </w:r>
      <w:r w:rsidR="005F58E9">
        <w:t xml:space="preserve"> </w:t>
      </w:r>
      <w:r w:rsidR="00B7657E">
        <w:t>p</w:t>
      </w:r>
      <w:r w:rsidR="009E4835" w:rsidRPr="00C21A75">
        <w:t>uede</w:t>
      </w:r>
      <w:r w:rsidR="00151BD1" w:rsidRPr="00C21A75">
        <w:t>n</w:t>
      </w:r>
      <w:r w:rsidR="009E4835" w:rsidRPr="00C21A75">
        <w:t xml:space="preserve"> convertirse en </w:t>
      </w:r>
      <w:r w:rsidR="00151BD1" w:rsidRPr="00C21A75">
        <w:t>motores</w:t>
      </w:r>
      <w:r w:rsidR="009E4835" w:rsidRPr="00C21A75">
        <w:t xml:space="preserve"> de crecimiento económico en determinadas regiones de un país.</w:t>
      </w:r>
    </w:p>
    <w:p w:rsidR="009E4835" w:rsidRDefault="00F87170" w:rsidP="00C21A75">
      <w:r w:rsidRPr="00C21A75">
        <w:t xml:space="preserve">A nivel mundial, el sector agropecuario representa 3.1% de la producción total con un valor de 2.2 trillones de dólares. </w:t>
      </w:r>
      <w:r w:rsidR="00524080" w:rsidRPr="00C21A75">
        <w:t>El sector</w:t>
      </w:r>
      <w:r w:rsidR="009E4835" w:rsidRPr="00C21A75">
        <w:t xml:space="preserve"> proporciona alimento a más de 7 mil millones de personas en todo el orbe, </w:t>
      </w:r>
      <w:r w:rsidR="00524080" w:rsidRPr="00C21A75">
        <w:t xml:space="preserve">y </w:t>
      </w:r>
      <w:r w:rsidR="00A818C4" w:rsidRPr="00C21A75">
        <w:t>aproximadamente el 47.5% de la población mundial</w:t>
      </w:r>
      <w:r w:rsidR="009E4835" w:rsidRPr="00C21A75">
        <w:t xml:space="preserve"> radica en localidades rurales. Estos datos son una muestra de la importancia que tiene el sector agropecuario para el sector público y los organismos internacionales.</w:t>
      </w:r>
    </w:p>
    <w:p w:rsidR="00921557" w:rsidRPr="00C21A75" w:rsidRDefault="00921557" w:rsidP="00C21A75"/>
    <w:p w:rsidR="00A818C4" w:rsidRDefault="0094241E" w:rsidP="00C21A75">
      <w:pPr>
        <w:pStyle w:val="Graficas"/>
      </w:pPr>
      <w:r w:rsidRPr="00C21A75">
        <w:rPr>
          <w:lang w:val="es-ES"/>
        </w:rPr>
        <w:t xml:space="preserve">Gráfica 1. </w:t>
      </w:r>
      <w:r w:rsidR="00A818C4" w:rsidRPr="00A818C4">
        <w:t>Participación en el PIB</w:t>
      </w:r>
      <w:r w:rsidR="00524080">
        <w:t xml:space="preserve"> Mundial</w:t>
      </w:r>
      <w:r w:rsidR="00A818C4" w:rsidRPr="00A818C4">
        <w:t xml:space="preserve"> (%)</w:t>
      </w:r>
      <w:r w:rsidR="002524B4">
        <w:t>.</w:t>
      </w:r>
    </w:p>
    <w:p w:rsidR="008B1AAB" w:rsidRPr="0084649B" w:rsidRDefault="0084649B" w:rsidP="00B47F47">
      <w:pPr>
        <w:ind w:firstLine="0"/>
        <w:jc w:val="center"/>
      </w:pPr>
      <w:r>
        <w:rPr>
          <w:noProof/>
          <w:lang w:eastAsia="es-MX"/>
        </w:rPr>
        <w:drawing>
          <wp:inline distT="0" distB="0" distL="0" distR="0" wp14:anchorId="27208A63" wp14:editId="518E9763">
            <wp:extent cx="3348080" cy="1927860"/>
            <wp:effectExtent l="0" t="0" r="508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5">
                      <a:extLst>
                        <a:ext uri="{28A0092B-C50C-407E-A947-70E740481C1C}">
                          <a14:useLocalDpi xmlns:a14="http://schemas.microsoft.com/office/drawing/2010/main" val="0"/>
                        </a:ext>
                      </a:extLst>
                    </a:blip>
                    <a:srcRect l="2329" t="2195" r="1979" b="4315"/>
                    <a:stretch/>
                  </pic:blipFill>
                  <pic:spPr bwMode="auto">
                    <a:xfrm>
                      <a:off x="0" y="0"/>
                      <a:ext cx="3361060" cy="1935334"/>
                    </a:xfrm>
                    <a:prstGeom prst="rect">
                      <a:avLst/>
                    </a:prstGeom>
                    <a:noFill/>
                    <a:ln>
                      <a:noFill/>
                    </a:ln>
                    <a:extLst>
                      <a:ext uri="{53640926-AAD7-44D8-BBD7-CCE9431645EC}">
                        <a14:shadowObscured xmlns:a14="http://schemas.microsoft.com/office/drawing/2010/main"/>
                      </a:ext>
                    </a:extLst>
                  </pic:spPr>
                </pic:pic>
              </a:graphicData>
            </a:graphic>
          </wp:inline>
        </w:drawing>
      </w:r>
    </w:p>
    <w:p w:rsidR="00A818C4" w:rsidRPr="00892632" w:rsidRDefault="00A818C4" w:rsidP="00F42934">
      <w:pPr>
        <w:pStyle w:val="Fuentesyreferencias"/>
      </w:pPr>
      <w:r w:rsidRPr="00892632">
        <w:t>F</w:t>
      </w:r>
      <w:r w:rsidR="000B4F52" w:rsidRPr="00892632">
        <w:t>uente: Banco Mundial, 2011</w:t>
      </w:r>
      <w:r w:rsidRPr="00892632">
        <w:t>.</w:t>
      </w:r>
    </w:p>
    <w:p w:rsidR="00643E57" w:rsidRDefault="00643E57" w:rsidP="00B47F47"/>
    <w:p w:rsidR="00F87170" w:rsidRPr="00B47F47" w:rsidRDefault="009E4835" w:rsidP="00B47F47">
      <w:r w:rsidRPr="00C21A75">
        <w:t xml:space="preserve">México no es ajeno a la situación que se vive a nivel internacional. La participación del PIB primario se ha reducido en forma sustancial en las últimas décadas, pasando de 16.1% en 1950, a 3.4% en 2012, como proporción del PIB total. De igual forma, la población que vive en localidades inferiores a 50 mil habitantes </w:t>
      </w:r>
      <w:r w:rsidRPr="00C21A75">
        <w:lastRenderedPageBreak/>
        <w:t xml:space="preserve">asciende a 47 millones de personas, y la que radica en localidades con menos de 2,500 habitantes asciende a 26 millones. </w:t>
      </w:r>
    </w:p>
    <w:p w:rsidR="00F87170" w:rsidRDefault="00F87170" w:rsidP="006552DF">
      <w:pPr>
        <w:rPr>
          <w:lang w:val="es-ES"/>
        </w:rPr>
      </w:pPr>
    </w:p>
    <w:p w:rsidR="00A818C4" w:rsidRPr="0084649B" w:rsidRDefault="0094241E" w:rsidP="00C21A75">
      <w:pPr>
        <w:pStyle w:val="Graficas"/>
      </w:pPr>
      <w:r w:rsidRPr="0084649B">
        <w:rPr>
          <w:lang w:val="es-ES"/>
        </w:rPr>
        <w:t xml:space="preserve">Gráfica 2. </w:t>
      </w:r>
      <w:r w:rsidR="00A818C4" w:rsidRPr="0084649B">
        <w:t>Participación en el PIB (%)</w:t>
      </w:r>
      <w:r w:rsidR="002524B4" w:rsidRPr="0084649B">
        <w:t>.</w:t>
      </w:r>
    </w:p>
    <w:p w:rsidR="008B1AAB" w:rsidRPr="0084649B" w:rsidRDefault="0084649B" w:rsidP="00B47F47">
      <w:pPr>
        <w:ind w:firstLine="0"/>
        <w:jc w:val="center"/>
        <w:rPr>
          <w:highlight w:val="yellow"/>
        </w:rPr>
      </w:pPr>
      <w:r>
        <w:rPr>
          <w:noProof/>
          <w:lang w:eastAsia="es-MX"/>
        </w:rPr>
        <w:drawing>
          <wp:inline distT="0" distB="0" distL="0" distR="0" wp14:anchorId="4207BB83" wp14:editId="3DB166FC">
            <wp:extent cx="2436435" cy="1594339"/>
            <wp:effectExtent l="0" t="0" r="254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0395" cy="1603474"/>
                    </a:xfrm>
                    <a:prstGeom prst="rect">
                      <a:avLst/>
                    </a:prstGeom>
                    <a:noFill/>
                  </pic:spPr>
                </pic:pic>
              </a:graphicData>
            </a:graphic>
          </wp:inline>
        </w:drawing>
      </w:r>
    </w:p>
    <w:p w:rsidR="00892632" w:rsidRPr="00C21A75" w:rsidRDefault="00892632" w:rsidP="00F42934">
      <w:pPr>
        <w:pStyle w:val="Fuentesyreferencias"/>
        <w:rPr>
          <w:rFonts w:ascii="Adobe Caslon Pro" w:hAnsi="Adobe Caslon Pro"/>
        </w:rPr>
      </w:pPr>
      <w:r w:rsidRPr="0084649B">
        <w:t>Fuente: INEGI</w:t>
      </w:r>
      <w:r w:rsidR="00E11BBE" w:rsidRPr="0084649B">
        <w:t>, 2012</w:t>
      </w:r>
      <w:r w:rsidRPr="0084649B">
        <w:t>.</w:t>
      </w:r>
    </w:p>
    <w:p w:rsidR="009E4835" w:rsidRPr="00C21A75" w:rsidRDefault="009E4835" w:rsidP="00C21A75">
      <w:r w:rsidRPr="00C21A75">
        <w:t>El Gobierno de la República, reconociendo que el campo es un sector estratégico, ha planteado la necesidad de su fortalecimiento, partiendo de un diagnóstico preciso de la situación que prevalece.</w:t>
      </w:r>
    </w:p>
    <w:p w:rsidR="009E4835" w:rsidRPr="00C21A75" w:rsidRDefault="009E4835" w:rsidP="00C21A75">
      <w:r w:rsidRPr="00C21A75">
        <w:t>Por ello, en el Plan Nacional de Desarrollo 2013-2018</w:t>
      </w:r>
      <w:r w:rsidR="00A818C4" w:rsidRPr="00C21A75">
        <w:t xml:space="preserve"> (PND)</w:t>
      </w:r>
      <w:r w:rsidRPr="00C21A75">
        <w:t>, se señala claramente, dentro de la Meta Nacional “México Próspero”, que se requiere impulsar una estrategia con un enfoque de productividad, rentabilidad y competitividad, buscando “construir un sector agropecuario y pesquero productivo que garantice la seguridad alimentaria del país”</w:t>
      </w:r>
      <w:r w:rsidR="0080034E" w:rsidRPr="00C21A75">
        <w:t>.</w:t>
      </w:r>
    </w:p>
    <w:p w:rsidR="009E4835" w:rsidRPr="00C21A75" w:rsidRDefault="009E4835" w:rsidP="00C21A75">
      <w:r w:rsidRPr="00C21A75">
        <w:t>La construcción de un sector primario con este enfoque requiere, entre otros aspectos, de un elemento clave: el financiamiento. Las características del sector, así como las metas e inversiones que se han planteado en el PND y en los programas sectoriales</w:t>
      </w:r>
      <w:r w:rsidR="00524080">
        <w:t>,</w:t>
      </w:r>
      <w:r w:rsidRPr="00C21A75">
        <w:t xml:space="preserve"> hacen necesario que el crédito se convierta en una palanca real de crecimiento en las actividades agrícolas, ganaderas, pesqueras, forestales y rurales.</w:t>
      </w:r>
    </w:p>
    <w:p w:rsidR="009E4835" w:rsidRPr="00C21A75" w:rsidRDefault="009E4835" w:rsidP="00C21A75">
      <w:r w:rsidRPr="00C21A75">
        <w:t xml:space="preserve">En particular, el PND establece dos elementos que deberán considerarse en este tema. El primer elemento, señala que es necesario ampliar el crédito por parte de la Banca de Desarrollo, en áreas prioritarias para </w:t>
      </w:r>
      <w:r w:rsidR="00524080" w:rsidRPr="00C21A75">
        <w:t>la economía</w:t>
      </w:r>
      <w:r w:rsidRPr="00C21A75">
        <w:t xml:space="preserve"> nacional, y particularmente, en la creación de valor y el crecimiento en el </w:t>
      </w:r>
      <w:r w:rsidR="00A818C4" w:rsidRPr="00C21A75">
        <w:t xml:space="preserve">campo. El </w:t>
      </w:r>
      <w:r w:rsidR="002A0A1C" w:rsidRPr="00C21A75">
        <w:t xml:space="preserve">segundo, indica </w:t>
      </w:r>
      <w:r w:rsidRPr="00C21A75">
        <w:t>que, para atender la demanda del sector primario y rural, la oportunidad y el costo del financiamiento deben mejorar.</w:t>
      </w:r>
    </w:p>
    <w:p w:rsidR="009E4835" w:rsidRPr="00C21A75" w:rsidRDefault="00A818C4" w:rsidP="00C21A75">
      <w:r w:rsidRPr="00C21A75">
        <w:t>E</w:t>
      </w:r>
      <w:r w:rsidR="009E4835" w:rsidRPr="00C21A75">
        <w:t>l presente capítulo se concentra en presentar un diagnóstico de la situación prevaleciente en el sector, y particularmente en el financiamiento del sector agroalimentario y rural. Cabe señalar que en los apartados del diagnóstico, se incluyen diversos indicadores de la anteriormente conocida Financiera Rural, y que con la Reforma Financiera, cambia su denominación a Financiera Nacional de Desarrollo Agropecuario, Rural, Forestal y Pesquero.</w:t>
      </w:r>
    </w:p>
    <w:p w:rsidR="009C57C5" w:rsidRPr="00C21A75" w:rsidRDefault="009C57C5" w:rsidP="00C21A75"/>
    <w:p w:rsidR="009E4835" w:rsidRPr="00C21A75" w:rsidRDefault="009E4835" w:rsidP="00643E57">
      <w:pPr>
        <w:pStyle w:val="Ttulo3"/>
      </w:pPr>
      <w:r w:rsidRPr="00C21A75">
        <w:t>Panorama actual</w:t>
      </w:r>
    </w:p>
    <w:p w:rsidR="009E4835" w:rsidRPr="00C21A75" w:rsidRDefault="009E4835" w:rsidP="00C21A75">
      <w:r w:rsidRPr="00B47F47">
        <w:t>México, en materia agroalimentaria y rural, es un país de contrastes. Por una parte</w:t>
      </w:r>
      <w:r w:rsidR="00461BFD" w:rsidRPr="00B47F47">
        <w:t>,</w:t>
      </w:r>
      <w:r w:rsidRPr="00B47F47">
        <w:t xml:space="preserve"> se encuentra entre las primeras diez potencias mundiales en producción de alimentos. Sin embargo, la producción nacional es insuficiente para cubrir la demanda interna, de tal suerte que </w:t>
      </w:r>
      <w:r w:rsidR="00461BFD" w:rsidRPr="00B47F47">
        <w:t>nuestro país</w:t>
      </w:r>
      <w:r w:rsidRPr="00B47F47">
        <w:t xml:space="preserve"> es deficitario en</w:t>
      </w:r>
      <w:r w:rsidR="009937AA" w:rsidRPr="00B47F47">
        <w:t xml:space="preserve"> </w:t>
      </w:r>
      <w:r w:rsidR="00524080">
        <w:t>algunos</w:t>
      </w:r>
      <w:r w:rsidR="00524080" w:rsidRPr="00C21A75">
        <w:t xml:space="preserve"> </w:t>
      </w:r>
      <w:r w:rsidRPr="00C21A75">
        <w:t xml:space="preserve">productos agropecuarios. </w:t>
      </w:r>
    </w:p>
    <w:p w:rsidR="009E4835" w:rsidRPr="00C21A75" w:rsidRDefault="009E4835" w:rsidP="00C21A75">
      <w:r w:rsidRPr="00C21A75">
        <w:t xml:space="preserve">En términos de la participación de cada una de las ramas de las actividades primarias, México es fundamentalmente </w:t>
      </w:r>
      <w:r w:rsidR="000C1DD7" w:rsidRPr="00C21A75">
        <w:t xml:space="preserve">agrícola y pecuario </w:t>
      </w:r>
      <w:r w:rsidRPr="00C21A75">
        <w:t xml:space="preserve">de acuerdo al valor de la producción. La agricultura representa el </w:t>
      </w:r>
      <w:r w:rsidR="000B4F52" w:rsidRPr="00C21A75">
        <w:t>56.8</w:t>
      </w:r>
      <w:r w:rsidRPr="00C21A75">
        <w:t xml:space="preserve">% del total del PIB primario, mientras que la ganadería representa el </w:t>
      </w:r>
      <w:r w:rsidR="000B4F52" w:rsidRPr="00C21A75">
        <w:t>39.7</w:t>
      </w:r>
      <w:r w:rsidRPr="00C21A75">
        <w:t xml:space="preserve">%. El </w:t>
      </w:r>
      <w:r w:rsidR="00CF3CB1" w:rsidRPr="00C21A75">
        <w:t>3</w:t>
      </w:r>
      <w:r w:rsidR="005F58E9">
        <w:t>.5</w:t>
      </w:r>
      <w:r w:rsidR="00CF3CB1" w:rsidRPr="00C21A75">
        <w:t xml:space="preserve">% restante corresponde al </w:t>
      </w:r>
      <w:r w:rsidRPr="00C21A75">
        <w:t xml:space="preserve">aprovechamiento forestal, la pesca, la caza y otros servicios relacionados </w:t>
      </w:r>
      <w:r w:rsidR="00CF3CB1" w:rsidRPr="00C21A75">
        <w:t>con la producción primaria</w:t>
      </w:r>
      <w:r w:rsidRPr="00C21A75">
        <w:t>.</w:t>
      </w:r>
    </w:p>
    <w:p w:rsidR="009937AA" w:rsidRPr="00C21A75" w:rsidRDefault="009937AA" w:rsidP="00C21A75"/>
    <w:p w:rsidR="000B4F52" w:rsidRPr="00643E57" w:rsidRDefault="0094241E" w:rsidP="00643E57">
      <w:pPr>
        <w:pStyle w:val="Cuadros"/>
      </w:pPr>
      <w:r w:rsidRPr="00643E57">
        <w:t xml:space="preserve">Tabla 1. </w:t>
      </w:r>
      <w:r w:rsidR="000B4F52" w:rsidRPr="00643E57">
        <w:t>Distribución del Valor de la Producción del Sector Primario</w:t>
      </w:r>
      <w:r w:rsidR="002524B4" w:rsidRPr="00643E57">
        <w:t>.</w:t>
      </w:r>
    </w:p>
    <w:tbl>
      <w:tblPr>
        <w:tblW w:w="5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66"/>
        <w:gridCol w:w="1492"/>
        <w:gridCol w:w="1497"/>
      </w:tblGrid>
      <w:tr w:rsidR="00643E57" w:rsidRPr="00643E57" w:rsidTr="00921557">
        <w:trPr>
          <w:trHeight w:val="488"/>
          <w:jc w:val="center"/>
        </w:trPr>
        <w:tc>
          <w:tcPr>
            <w:tcW w:w="2666" w:type="dxa"/>
            <w:shd w:val="clear" w:color="auto" w:fill="4F6228"/>
            <w:noWrap/>
            <w:vAlign w:val="center"/>
            <w:hideMark/>
          </w:tcPr>
          <w:p w:rsidR="00643E57" w:rsidRPr="00921557" w:rsidRDefault="00643E57" w:rsidP="00643E57">
            <w:pPr>
              <w:ind w:right="806" w:firstLine="0"/>
              <w:jc w:val="right"/>
              <w:rPr>
                <w:b/>
                <w:lang w:eastAsia="es-MX"/>
              </w:rPr>
            </w:pPr>
            <w:r w:rsidRPr="00921557">
              <w:rPr>
                <w:b/>
                <w:lang w:eastAsia="es-MX"/>
              </w:rPr>
              <w:t>Subsector</w:t>
            </w:r>
          </w:p>
        </w:tc>
        <w:tc>
          <w:tcPr>
            <w:tcW w:w="1492" w:type="dxa"/>
            <w:shd w:val="clear" w:color="auto" w:fill="4F6228"/>
            <w:noWrap/>
            <w:vAlign w:val="center"/>
            <w:hideMark/>
          </w:tcPr>
          <w:p w:rsidR="00643E57" w:rsidRPr="00921557" w:rsidRDefault="00643E57" w:rsidP="00643E57">
            <w:pPr>
              <w:ind w:right="256" w:firstLine="0"/>
              <w:jc w:val="right"/>
              <w:rPr>
                <w:b/>
                <w:lang w:eastAsia="es-MX"/>
              </w:rPr>
            </w:pPr>
            <w:r w:rsidRPr="00921557">
              <w:rPr>
                <w:b/>
                <w:lang w:eastAsia="es-MX"/>
              </w:rPr>
              <w:t>mdp</w:t>
            </w:r>
          </w:p>
        </w:tc>
        <w:tc>
          <w:tcPr>
            <w:tcW w:w="1497" w:type="dxa"/>
            <w:shd w:val="clear" w:color="auto" w:fill="4F6228"/>
            <w:noWrap/>
            <w:vAlign w:val="center"/>
            <w:hideMark/>
          </w:tcPr>
          <w:p w:rsidR="00643E57" w:rsidRPr="00921557" w:rsidRDefault="00643E57" w:rsidP="00643E57">
            <w:pPr>
              <w:ind w:firstLine="0"/>
              <w:jc w:val="center"/>
              <w:rPr>
                <w:b/>
                <w:lang w:eastAsia="es-MX"/>
              </w:rPr>
            </w:pPr>
            <w:r w:rsidRPr="00921557">
              <w:rPr>
                <w:b/>
                <w:lang w:eastAsia="es-MX"/>
              </w:rPr>
              <w:t>% Part.</w:t>
            </w:r>
          </w:p>
        </w:tc>
      </w:tr>
      <w:tr w:rsidR="00643E57" w:rsidRPr="009A3812" w:rsidTr="00921557">
        <w:trPr>
          <w:trHeight w:val="441"/>
          <w:jc w:val="center"/>
        </w:trPr>
        <w:tc>
          <w:tcPr>
            <w:tcW w:w="2666" w:type="dxa"/>
            <w:shd w:val="clear" w:color="000000" w:fill="FFFFFF"/>
            <w:noWrap/>
            <w:vAlign w:val="center"/>
            <w:hideMark/>
          </w:tcPr>
          <w:p w:rsidR="00643E57" w:rsidRPr="00A83C74" w:rsidRDefault="00643E57" w:rsidP="00643E57">
            <w:pPr>
              <w:ind w:firstLine="0"/>
              <w:rPr>
                <w:lang w:eastAsia="es-MX"/>
              </w:rPr>
            </w:pPr>
            <w:r w:rsidRPr="00A83C74">
              <w:rPr>
                <w:lang w:eastAsia="es-MX"/>
              </w:rPr>
              <w:t>Agrícola</w:t>
            </w:r>
          </w:p>
        </w:tc>
        <w:tc>
          <w:tcPr>
            <w:tcW w:w="1492" w:type="dxa"/>
            <w:shd w:val="clear" w:color="000000" w:fill="FFFFFF"/>
            <w:noWrap/>
            <w:vAlign w:val="center"/>
            <w:hideMark/>
          </w:tcPr>
          <w:p w:rsidR="00643E57" w:rsidRPr="00A83C74" w:rsidRDefault="00643E57" w:rsidP="00643E57">
            <w:pPr>
              <w:ind w:right="256" w:firstLine="0"/>
              <w:jc w:val="right"/>
              <w:rPr>
                <w:lang w:eastAsia="es-MX"/>
              </w:rPr>
            </w:pPr>
            <w:r w:rsidRPr="00A83C74">
              <w:rPr>
                <w:lang w:eastAsia="es-MX"/>
              </w:rPr>
              <w:t>410,160</w:t>
            </w:r>
          </w:p>
        </w:tc>
        <w:tc>
          <w:tcPr>
            <w:tcW w:w="1497" w:type="dxa"/>
            <w:shd w:val="clear" w:color="000000" w:fill="FFFFFF"/>
            <w:noWrap/>
            <w:vAlign w:val="center"/>
            <w:hideMark/>
          </w:tcPr>
          <w:p w:rsidR="00643E57" w:rsidRPr="00A83C74" w:rsidRDefault="00643E57" w:rsidP="00F02CA5">
            <w:pPr>
              <w:ind w:right="230" w:firstLine="0"/>
              <w:jc w:val="right"/>
              <w:rPr>
                <w:lang w:eastAsia="es-MX"/>
              </w:rPr>
            </w:pPr>
            <w:r w:rsidRPr="00A83C74">
              <w:rPr>
                <w:lang w:eastAsia="es-MX"/>
              </w:rPr>
              <w:t>56.8%</w:t>
            </w:r>
          </w:p>
        </w:tc>
      </w:tr>
      <w:tr w:rsidR="00643E57" w:rsidRPr="009A3812" w:rsidTr="00921557">
        <w:trPr>
          <w:trHeight w:val="441"/>
          <w:jc w:val="center"/>
        </w:trPr>
        <w:tc>
          <w:tcPr>
            <w:tcW w:w="2666" w:type="dxa"/>
            <w:shd w:val="clear" w:color="000000" w:fill="FFFFFF"/>
            <w:noWrap/>
            <w:vAlign w:val="center"/>
            <w:hideMark/>
          </w:tcPr>
          <w:p w:rsidR="00643E57" w:rsidRPr="00A83C74" w:rsidRDefault="00643E57" w:rsidP="00643E57">
            <w:pPr>
              <w:ind w:firstLine="0"/>
              <w:rPr>
                <w:lang w:eastAsia="es-MX"/>
              </w:rPr>
            </w:pPr>
            <w:r w:rsidRPr="00A83C74">
              <w:rPr>
                <w:lang w:eastAsia="es-MX"/>
              </w:rPr>
              <w:t>Pecuario</w:t>
            </w:r>
          </w:p>
        </w:tc>
        <w:tc>
          <w:tcPr>
            <w:tcW w:w="1492" w:type="dxa"/>
            <w:shd w:val="clear" w:color="000000" w:fill="FFFFFF"/>
            <w:noWrap/>
            <w:vAlign w:val="center"/>
            <w:hideMark/>
          </w:tcPr>
          <w:p w:rsidR="00643E57" w:rsidRPr="00A83C74" w:rsidRDefault="00643E57" w:rsidP="00643E57">
            <w:pPr>
              <w:ind w:right="256" w:firstLine="0"/>
              <w:jc w:val="right"/>
              <w:rPr>
                <w:lang w:eastAsia="es-MX"/>
              </w:rPr>
            </w:pPr>
            <w:r w:rsidRPr="00A83C74">
              <w:rPr>
                <w:lang w:eastAsia="es-MX"/>
              </w:rPr>
              <w:t>286,571</w:t>
            </w:r>
          </w:p>
        </w:tc>
        <w:tc>
          <w:tcPr>
            <w:tcW w:w="1497" w:type="dxa"/>
            <w:shd w:val="clear" w:color="000000" w:fill="FFFFFF"/>
            <w:noWrap/>
            <w:vAlign w:val="center"/>
            <w:hideMark/>
          </w:tcPr>
          <w:p w:rsidR="00643E57" w:rsidRPr="00A83C74" w:rsidRDefault="00643E57" w:rsidP="00F02CA5">
            <w:pPr>
              <w:ind w:right="230" w:firstLine="0"/>
              <w:jc w:val="right"/>
              <w:rPr>
                <w:lang w:eastAsia="es-MX"/>
              </w:rPr>
            </w:pPr>
            <w:r w:rsidRPr="00A83C74">
              <w:rPr>
                <w:lang w:eastAsia="es-MX"/>
              </w:rPr>
              <w:t>39.7%</w:t>
            </w:r>
          </w:p>
        </w:tc>
      </w:tr>
      <w:tr w:rsidR="00643E57" w:rsidRPr="009A3812" w:rsidTr="00921557">
        <w:trPr>
          <w:trHeight w:val="441"/>
          <w:jc w:val="center"/>
        </w:trPr>
        <w:tc>
          <w:tcPr>
            <w:tcW w:w="2666" w:type="dxa"/>
            <w:shd w:val="clear" w:color="000000" w:fill="FFFFFF"/>
            <w:noWrap/>
            <w:vAlign w:val="center"/>
            <w:hideMark/>
          </w:tcPr>
          <w:p w:rsidR="00643E57" w:rsidRPr="00A83C74" w:rsidRDefault="00643E57" w:rsidP="00643E57">
            <w:pPr>
              <w:ind w:firstLine="0"/>
              <w:rPr>
                <w:lang w:eastAsia="es-MX"/>
              </w:rPr>
            </w:pPr>
            <w:r w:rsidRPr="00A83C74">
              <w:rPr>
                <w:lang w:eastAsia="es-MX"/>
              </w:rPr>
              <w:lastRenderedPageBreak/>
              <w:t xml:space="preserve">Pesca y acuacultura </w:t>
            </w:r>
          </w:p>
        </w:tc>
        <w:tc>
          <w:tcPr>
            <w:tcW w:w="1492" w:type="dxa"/>
            <w:shd w:val="clear" w:color="000000" w:fill="FFFFFF"/>
            <w:noWrap/>
            <w:vAlign w:val="center"/>
            <w:hideMark/>
          </w:tcPr>
          <w:p w:rsidR="00643E57" w:rsidRPr="00A83C74" w:rsidRDefault="00643E57" w:rsidP="00643E57">
            <w:pPr>
              <w:ind w:right="256" w:firstLine="0"/>
              <w:jc w:val="right"/>
              <w:rPr>
                <w:lang w:eastAsia="es-MX"/>
              </w:rPr>
            </w:pPr>
            <w:r w:rsidRPr="00A83C74">
              <w:rPr>
                <w:lang w:eastAsia="es-MX"/>
              </w:rPr>
              <w:t>19,022</w:t>
            </w:r>
          </w:p>
        </w:tc>
        <w:tc>
          <w:tcPr>
            <w:tcW w:w="1497" w:type="dxa"/>
            <w:shd w:val="clear" w:color="000000" w:fill="FFFFFF"/>
            <w:noWrap/>
            <w:vAlign w:val="center"/>
            <w:hideMark/>
          </w:tcPr>
          <w:p w:rsidR="00643E57" w:rsidRPr="00A83C74" w:rsidRDefault="00643E57" w:rsidP="00F02CA5">
            <w:pPr>
              <w:ind w:right="230" w:firstLine="0"/>
              <w:jc w:val="right"/>
              <w:rPr>
                <w:lang w:eastAsia="es-MX"/>
              </w:rPr>
            </w:pPr>
            <w:r w:rsidRPr="00A83C74">
              <w:rPr>
                <w:lang w:eastAsia="es-MX"/>
              </w:rPr>
              <w:t>2.6%</w:t>
            </w:r>
          </w:p>
        </w:tc>
      </w:tr>
      <w:tr w:rsidR="00643E57" w:rsidRPr="009A3812" w:rsidTr="00921557">
        <w:trPr>
          <w:trHeight w:val="441"/>
          <w:jc w:val="center"/>
        </w:trPr>
        <w:tc>
          <w:tcPr>
            <w:tcW w:w="2666" w:type="dxa"/>
            <w:shd w:val="clear" w:color="000000" w:fill="FFFFFF"/>
            <w:noWrap/>
            <w:vAlign w:val="center"/>
            <w:hideMark/>
          </w:tcPr>
          <w:p w:rsidR="00643E57" w:rsidRPr="00A83C74" w:rsidRDefault="00643E57" w:rsidP="00643E57">
            <w:pPr>
              <w:ind w:firstLine="0"/>
              <w:rPr>
                <w:lang w:eastAsia="es-MX"/>
              </w:rPr>
            </w:pPr>
            <w:r w:rsidRPr="00A83C74">
              <w:rPr>
                <w:lang w:eastAsia="es-MX"/>
              </w:rPr>
              <w:t>Forestal</w:t>
            </w:r>
          </w:p>
        </w:tc>
        <w:tc>
          <w:tcPr>
            <w:tcW w:w="1492" w:type="dxa"/>
            <w:shd w:val="clear" w:color="000000" w:fill="FFFFFF"/>
            <w:noWrap/>
            <w:vAlign w:val="center"/>
            <w:hideMark/>
          </w:tcPr>
          <w:p w:rsidR="00643E57" w:rsidRPr="00A83C74" w:rsidRDefault="00643E57" w:rsidP="00643E57">
            <w:pPr>
              <w:ind w:right="256" w:firstLine="0"/>
              <w:jc w:val="right"/>
              <w:rPr>
                <w:lang w:eastAsia="es-MX"/>
              </w:rPr>
            </w:pPr>
            <w:r w:rsidRPr="00A83C74">
              <w:rPr>
                <w:lang w:eastAsia="es-MX"/>
              </w:rPr>
              <w:t>6,851</w:t>
            </w:r>
          </w:p>
        </w:tc>
        <w:tc>
          <w:tcPr>
            <w:tcW w:w="1497" w:type="dxa"/>
            <w:shd w:val="clear" w:color="000000" w:fill="FFFFFF"/>
            <w:noWrap/>
            <w:vAlign w:val="center"/>
            <w:hideMark/>
          </w:tcPr>
          <w:p w:rsidR="00643E57" w:rsidRPr="00A83C74" w:rsidRDefault="00643E57" w:rsidP="00F02CA5">
            <w:pPr>
              <w:ind w:right="230" w:firstLine="0"/>
              <w:jc w:val="right"/>
              <w:rPr>
                <w:lang w:eastAsia="es-MX"/>
              </w:rPr>
            </w:pPr>
            <w:r w:rsidRPr="00A83C74">
              <w:rPr>
                <w:lang w:eastAsia="es-MX"/>
              </w:rPr>
              <w:t>0.95%</w:t>
            </w:r>
          </w:p>
        </w:tc>
      </w:tr>
      <w:tr w:rsidR="00643E57" w:rsidRPr="00643E57" w:rsidTr="00921557">
        <w:trPr>
          <w:trHeight w:val="465"/>
          <w:jc w:val="center"/>
        </w:trPr>
        <w:tc>
          <w:tcPr>
            <w:tcW w:w="2666" w:type="dxa"/>
            <w:shd w:val="clear" w:color="000000" w:fill="FFFFFF"/>
            <w:noWrap/>
            <w:vAlign w:val="center"/>
            <w:hideMark/>
          </w:tcPr>
          <w:p w:rsidR="00643E57" w:rsidRPr="00643E57" w:rsidRDefault="00643E57" w:rsidP="00643E57">
            <w:pPr>
              <w:ind w:firstLine="0"/>
              <w:rPr>
                <w:b/>
                <w:lang w:eastAsia="es-MX"/>
              </w:rPr>
            </w:pPr>
            <w:r w:rsidRPr="00643E57">
              <w:rPr>
                <w:b/>
                <w:lang w:eastAsia="es-MX"/>
              </w:rPr>
              <w:t>TOTAL</w:t>
            </w:r>
          </w:p>
        </w:tc>
        <w:tc>
          <w:tcPr>
            <w:tcW w:w="1492" w:type="dxa"/>
            <w:shd w:val="clear" w:color="000000" w:fill="FFFFFF"/>
            <w:noWrap/>
            <w:vAlign w:val="center"/>
            <w:hideMark/>
          </w:tcPr>
          <w:p w:rsidR="00643E57" w:rsidRPr="00643E57" w:rsidRDefault="00643E57" w:rsidP="00643E57">
            <w:pPr>
              <w:ind w:right="256" w:firstLine="0"/>
              <w:jc w:val="right"/>
              <w:rPr>
                <w:b/>
                <w:lang w:eastAsia="es-MX"/>
              </w:rPr>
            </w:pPr>
            <w:r w:rsidRPr="00643E57">
              <w:rPr>
                <w:b/>
                <w:lang w:eastAsia="es-MX"/>
              </w:rPr>
              <w:t>722,604</w:t>
            </w:r>
          </w:p>
        </w:tc>
        <w:tc>
          <w:tcPr>
            <w:tcW w:w="1497" w:type="dxa"/>
            <w:shd w:val="clear" w:color="000000" w:fill="FFFFFF"/>
            <w:noWrap/>
            <w:vAlign w:val="center"/>
            <w:hideMark/>
          </w:tcPr>
          <w:p w:rsidR="00643E57" w:rsidRPr="00643E57" w:rsidRDefault="00643E57" w:rsidP="00F02CA5">
            <w:pPr>
              <w:ind w:right="230" w:firstLine="0"/>
              <w:jc w:val="right"/>
              <w:rPr>
                <w:b/>
                <w:lang w:eastAsia="es-MX"/>
              </w:rPr>
            </w:pPr>
            <w:r w:rsidRPr="00643E57">
              <w:rPr>
                <w:b/>
                <w:lang w:eastAsia="es-MX"/>
              </w:rPr>
              <w:t>100.0%</w:t>
            </w:r>
          </w:p>
        </w:tc>
      </w:tr>
    </w:tbl>
    <w:p w:rsidR="000B4F52" w:rsidRPr="0091012C" w:rsidRDefault="000B4F52" w:rsidP="00F42934">
      <w:pPr>
        <w:pStyle w:val="Fuentesyreferencias"/>
        <w:rPr>
          <w:szCs w:val="36"/>
        </w:rPr>
      </w:pPr>
      <w:r w:rsidRPr="00684BAA">
        <w:t>Fuente: SIAP-SAGARPA</w:t>
      </w:r>
      <w:r w:rsidR="007665BE" w:rsidRPr="00684BAA">
        <w:t xml:space="preserve"> 2012</w:t>
      </w:r>
      <w:r w:rsidRPr="00684BAA">
        <w:t>, CONAPESCA</w:t>
      </w:r>
      <w:r w:rsidR="007665BE" w:rsidRPr="00684BAA">
        <w:t xml:space="preserve"> 2012</w:t>
      </w:r>
      <w:r w:rsidR="009C5445" w:rsidRPr="00684BAA">
        <w:t xml:space="preserve"> y</w:t>
      </w:r>
      <w:r w:rsidRPr="00684BAA">
        <w:t xml:space="preserve"> </w:t>
      </w:r>
      <w:r w:rsidR="007665BE" w:rsidRPr="00684BAA">
        <w:t>SEMARNAT 2011</w:t>
      </w:r>
      <w:r w:rsidRPr="00684BAA">
        <w:t>.</w:t>
      </w:r>
    </w:p>
    <w:p w:rsidR="000B4F52" w:rsidRPr="00C21A75" w:rsidRDefault="000B4F52" w:rsidP="00C21A75"/>
    <w:p w:rsidR="009E4835" w:rsidRPr="00C21A75" w:rsidRDefault="009E4835" w:rsidP="00C21A75">
      <w:r w:rsidRPr="00C21A75">
        <w:t>En lo referente a la población ocupada en el sector, ésta representa el 13.7% de la población ocupada total. A su vez</w:t>
      </w:r>
      <w:r w:rsidR="00524080">
        <w:t>,</w:t>
      </w:r>
      <w:r w:rsidRPr="00C21A75">
        <w:t xml:space="preserve"> la población dedicada a la agricultura representa el </w:t>
      </w:r>
      <w:r w:rsidR="002A0A1C" w:rsidRPr="00C21A75">
        <w:t>65.9</w:t>
      </w:r>
      <w:r w:rsidRPr="00C21A75">
        <w:t xml:space="preserve">%, a la ganadería el </w:t>
      </w:r>
      <w:r w:rsidR="002A0A1C" w:rsidRPr="00C21A75">
        <w:t>28.8</w:t>
      </w:r>
      <w:r w:rsidRPr="00C21A75">
        <w:t>%, mientras que el resto se dedica a otras actividades. Al contrastar estas cifras con las relacionadas al valor económico de la producción primaria, se obtiene una idea general del reto en materia de productividad que deberá enfrentar el sector en los próximos años.</w:t>
      </w:r>
    </w:p>
    <w:p w:rsidR="00461BFD" w:rsidRDefault="00461BFD" w:rsidP="00C21A75">
      <w:r w:rsidRPr="00C21A75">
        <w:t xml:space="preserve">La producción nacional ha enfrentado en los últimos años un </w:t>
      </w:r>
      <w:r w:rsidR="000C1DD7" w:rsidRPr="00C21A75">
        <w:t xml:space="preserve">comportamiento </w:t>
      </w:r>
      <w:r w:rsidRPr="00C21A75">
        <w:t>de alta volatilidad. La crisis financiera de 2008 y los efectos del cambio climático han generado variaciones significativas en los precios y en la oferta de alimentos. Adicionalmente</w:t>
      </w:r>
      <w:r w:rsidR="005F58E9">
        <w:t>,</w:t>
      </w:r>
      <w:r w:rsidRPr="00C21A75">
        <w:t xml:space="preserve"> se enfrentan presiones en la demanda gracias al dinámico crecimiento que se observa en los países en desarrollo de Asia, en particular, China e India. </w:t>
      </w:r>
    </w:p>
    <w:p w:rsidR="005F58E9" w:rsidRPr="00C21A75" w:rsidRDefault="005F58E9" w:rsidP="00C21A75"/>
    <w:p w:rsidR="00F87170" w:rsidRPr="00F87170" w:rsidRDefault="0094241E" w:rsidP="00643E57">
      <w:pPr>
        <w:pStyle w:val="Graficas"/>
      </w:pPr>
      <w:r w:rsidRPr="00921557">
        <w:t xml:space="preserve">Gráfica 3. </w:t>
      </w:r>
      <w:r w:rsidR="00F87170" w:rsidRPr="00921557">
        <w:t>Índice de Precios de Alimentos de la FAO (</w:t>
      </w:r>
      <w:r w:rsidR="00734943" w:rsidRPr="00921557">
        <w:t xml:space="preserve">base </w:t>
      </w:r>
      <w:r w:rsidR="00F87170" w:rsidRPr="00921557">
        <w:t>2002-2004=100).</w:t>
      </w:r>
    </w:p>
    <w:p w:rsidR="00F87170" w:rsidRDefault="00EC7870" w:rsidP="001D6B13">
      <w:pPr>
        <w:ind w:firstLine="0"/>
        <w:jc w:val="center"/>
      </w:pPr>
      <w:r>
        <w:rPr>
          <w:noProof/>
          <w:lang w:eastAsia="es-MX"/>
        </w:rPr>
        <w:drawing>
          <wp:inline distT="0" distB="0" distL="0" distR="0" wp14:anchorId="59C89595" wp14:editId="7F1F4C44">
            <wp:extent cx="4580255" cy="2433320"/>
            <wp:effectExtent l="0" t="0" r="0" b="5080"/>
            <wp:docPr id="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0255" cy="2433320"/>
                    </a:xfrm>
                    <a:prstGeom prst="rect">
                      <a:avLst/>
                    </a:prstGeom>
                    <a:noFill/>
                    <a:ln>
                      <a:noFill/>
                    </a:ln>
                  </pic:spPr>
                </pic:pic>
              </a:graphicData>
            </a:graphic>
          </wp:inline>
        </w:drawing>
      </w:r>
    </w:p>
    <w:p w:rsidR="00F87170" w:rsidRDefault="00F87170" w:rsidP="00F42934">
      <w:pPr>
        <w:pStyle w:val="Fuentesyreferencias"/>
      </w:pPr>
      <w:r w:rsidRPr="001D6B13">
        <w:t>Fuente: FAO</w:t>
      </w:r>
      <w:r>
        <w:t>.</w:t>
      </w:r>
    </w:p>
    <w:p w:rsidR="00F87170" w:rsidRDefault="00F87170" w:rsidP="00C21A75"/>
    <w:p w:rsidR="00F87170" w:rsidRPr="00F87170" w:rsidRDefault="0094241E" w:rsidP="00C21A75">
      <w:pPr>
        <w:pStyle w:val="Graficas"/>
      </w:pPr>
      <w:r w:rsidRPr="007943E4">
        <w:t xml:space="preserve">Gráfica 4. </w:t>
      </w:r>
      <w:r w:rsidR="00F87170" w:rsidRPr="007943E4">
        <w:t>Demanda Mundial por Alimentos  (millones de toneladas)</w:t>
      </w:r>
    </w:p>
    <w:p w:rsidR="00F87170" w:rsidRDefault="007943E4" w:rsidP="001D6B13">
      <w:pPr>
        <w:ind w:firstLine="0"/>
        <w:jc w:val="center"/>
      </w:pPr>
      <w:r>
        <w:rPr>
          <w:noProof/>
          <w:lang w:eastAsia="es-MX"/>
        </w:rPr>
        <w:drawing>
          <wp:inline distT="0" distB="0" distL="0" distR="0" wp14:anchorId="6EBDD66B" wp14:editId="03D7C1AF">
            <wp:extent cx="3277289" cy="2071077"/>
            <wp:effectExtent l="0" t="0" r="0" b="57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82533" cy="2074391"/>
                    </a:xfrm>
                    <a:prstGeom prst="rect">
                      <a:avLst/>
                    </a:prstGeom>
                    <a:noFill/>
                  </pic:spPr>
                </pic:pic>
              </a:graphicData>
            </a:graphic>
          </wp:inline>
        </w:drawing>
      </w:r>
    </w:p>
    <w:p w:rsidR="00F87170" w:rsidRDefault="00F87170" w:rsidP="00F42934">
      <w:pPr>
        <w:pStyle w:val="Fuentesyreferencias"/>
      </w:pPr>
      <w:r w:rsidRPr="00242830">
        <w:t>Fuente: FAO.</w:t>
      </w:r>
    </w:p>
    <w:p w:rsidR="001D6B13" w:rsidRDefault="001D6B13" w:rsidP="00C21A75"/>
    <w:p w:rsidR="00552BE1" w:rsidRPr="00C21A75" w:rsidRDefault="00552BE1" w:rsidP="00C21A75">
      <w:r w:rsidRPr="00C21A75">
        <w:lastRenderedPageBreak/>
        <w:t>Por otra parte, el sector primario presenta características estructurales que han frenado su desarrollo durante décadas. En particular, el PND y el Programa Sectorial de Desarrollo Agropecuario, Pesquero y Alimentario 2013-2018 (Programa Sectorial) identifican diversas problemáticas que deberán resolverse para detonar el potencial del sector.</w:t>
      </w:r>
    </w:p>
    <w:p w:rsidR="009E4835" w:rsidRPr="00C21A75" w:rsidRDefault="009E4835" w:rsidP="00C21A75">
      <w:r w:rsidRPr="00C21A75">
        <w:t xml:space="preserve">En particular, en el PND se señala que actualmente se cultiva alrededor del 85% de las hectáreas disponibles, lo que restringe </w:t>
      </w:r>
      <w:r w:rsidR="000A4D17" w:rsidRPr="00C21A75">
        <w:t xml:space="preserve">el potencial de crecimiento </w:t>
      </w:r>
      <w:r w:rsidRPr="00C21A75">
        <w:t>del sector. La ganadería, a pesar de su alto potencial, presenta descapitalización de sus unidades productivas. La pesca, por su parte, tiene deficiencias de ordenamiento y legalidad.</w:t>
      </w:r>
    </w:p>
    <w:p w:rsidR="009E4835" w:rsidRPr="00C21A75" w:rsidRDefault="009E4835" w:rsidP="00C21A75">
      <w:r w:rsidRPr="00C21A75">
        <w:t>Por ello, el PND considera en primer lugar</w:t>
      </w:r>
      <w:r w:rsidR="000A4D17" w:rsidRPr="00C21A75">
        <w:t>,</w:t>
      </w:r>
      <w:r w:rsidRPr="00C21A75">
        <w:t xml:space="preserve"> que debe fortalecerse la capitalización del sector, ya que la falta de inversión en equipamiento e infraestructura impone un freno a la productividad. En segundo lugar, un bajo porcentaje de</w:t>
      </w:r>
      <w:r w:rsidR="00461BFD" w:rsidRPr="00C21A75">
        <w:t xml:space="preserve"> las unidades productivas tiene</w:t>
      </w:r>
      <w:r w:rsidRPr="00C21A75">
        <w:t xml:space="preserve"> acceso al financiamiento. En tercer lugar, se necesita fomentar la innovación y el desarrollo tecnológico, para resolver las demandas de los productores. Finalmente, se establece la necesidad de fomentar un desarrollo regional más equilibrado.</w:t>
      </w:r>
    </w:p>
    <w:p w:rsidR="009E4835" w:rsidRPr="00C21A75" w:rsidRDefault="009E4835" w:rsidP="00C21A75">
      <w:r w:rsidRPr="00C21A75">
        <w:t>El Programa Sectorial retoma dichos señalamiento</w:t>
      </w:r>
      <w:r w:rsidR="00081F30" w:rsidRPr="00C21A75">
        <w:t>s</w:t>
      </w:r>
      <w:r w:rsidRPr="00C21A75">
        <w:t>, y los traduce en diez retos que enfrenta el sector agroalimentario del país, y para el cual será necesario adoptar estrategias que permitan estimular el crecimiento sostenido y sustentable del sector primario de la economía.</w:t>
      </w:r>
    </w:p>
    <w:p w:rsidR="009E4835" w:rsidRPr="00C21A75" w:rsidRDefault="009E4835" w:rsidP="00C21A75">
      <w:r w:rsidRPr="00C21A75">
        <w:t>Los retos identificados en el sector primario son los siguientes:</w:t>
      </w:r>
    </w:p>
    <w:p w:rsidR="009E4835" w:rsidRDefault="009E4835" w:rsidP="00C21A75">
      <w:pPr>
        <w:numPr>
          <w:ilvl w:val="0"/>
          <w:numId w:val="33"/>
        </w:numPr>
      </w:pPr>
      <w:r w:rsidRPr="00C21A75">
        <w:t xml:space="preserve">Productividad estancada. Se ha identificado que la productividad entre el año 2000 y 2012 ha disminuido, como resultado de diversas situaciones que </w:t>
      </w:r>
      <w:r w:rsidR="00121543" w:rsidRPr="00C21A75">
        <w:t>ha</w:t>
      </w:r>
      <w:r w:rsidRPr="00C21A75">
        <w:t xml:space="preserve"> enfrentado el sector</w:t>
      </w:r>
      <w:r w:rsidR="00121543" w:rsidRPr="00C21A75">
        <w:t>.</w:t>
      </w:r>
    </w:p>
    <w:p w:rsidR="005F58E9" w:rsidRDefault="005F58E9" w:rsidP="00C21A75">
      <w:pPr>
        <w:pStyle w:val="Graficas"/>
      </w:pPr>
    </w:p>
    <w:p w:rsidR="00F87170" w:rsidRPr="004733A5" w:rsidRDefault="00F87170" w:rsidP="00C21A75">
      <w:pPr>
        <w:pStyle w:val="Graficas"/>
        <w:rPr>
          <w:lang w:val="es-ES"/>
        </w:rPr>
      </w:pPr>
      <w:r w:rsidRPr="004733A5">
        <w:t>Gráfica</w:t>
      </w:r>
      <w:r w:rsidR="0094241E" w:rsidRPr="004733A5">
        <w:rPr>
          <w:lang w:val="es-ES"/>
        </w:rPr>
        <w:t xml:space="preserve"> 5</w:t>
      </w:r>
      <w:r w:rsidRPr="004733A5">
        <w:rPr>
          <w:lang w:val="es-ES"/>
        </w:rPr>
        <w:t xml:space="preserve">. </w:t>
      </w:r>
      <w:r w:rsidRPr="004733A5">
        <w:t>PIB de las actividades primarias</w:t>
      </w:r>
    </w:p>
    <w:p w:rsidR="00F87170" w:rsidRPr="00F87170" w:rsidRDefault="00F87170" w:rsidP="00C21A75">
      <w:pPr>
        <w:pStyle w:val="Graficas"/>
      </w:pPr>
      <w:r w:rsidRPr="004733A5">
        <w:t>por persona ocupada (pesos a precios de 2008).</w:t>
      </w:r>
    </w:p>
    <w:p w:rsidR="00F87170" w:rsidRDefault="004733A5" w:rsidP="001D6B13">
      <w:pPr>
        <w:ind w:firstLine="0"/>
        <w:jc w:val="center"/>
      </w:pPr>
      <w:r>
        <w:rPr>
          <w:noProof/>
          <w:lang w:eastAsia="es-MX"/>
        </w:rPr>
        <w:drawing>
          <wp:inline distT="0" distB="0" distL="0" distR="0" wp14:anchorId="072DFEF7" wp14:editId="0A9AF98A">
            <wp:extent cx="3366318" cy="2024184"/>
            <wp:effectExtent l="0" t="0" r="571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70108" cy="2026463"/>
                    </a:xfrm>
                    <a:prstGeom prst="rect">
                      <a:avLst/>
                    </a:prstGeom>
                    <a:noFill/>
                  </pic:spPr>
                </pic:pic>
              </a:graphicData>
            </a:graphic>
          </wp:inline>
        </w:drawing>
      </w:r>
    </w:p>
    <w:p w:rsidR="00F87170" w:rsidRDefault="00F87170" w:rsidP="00F42934">
      <w:pPr>
        <w:pStyle w:val="Fuentesyreferencias"/>
      </w:pPr>
      <w:r w:rsidRPr="001D6B13">
        <w:t>Fuente: INEGI.</w:t>
      </w:r>
    </w:p>
    <w:p w:rsidR="001D6B13" w:rsidRPr="001D6B13" w:rsidRDefault="001D6B13" w:rsidP="001D6B13"/>
    <w:p w:rsidR="0094241E" w:rsidRPr="00C21A75" w:rsidRDefault="009E4835" w:rsidP="00C21A75">
      <w:pPr>
        <w:numPr>
          <w:ilvl w:val="0"/>
          <w:numId w:val="33"/>
        </w:numPr>
      </w:pPr>
      <w:r w:rsidRPr="00C21A75">
        <w:t>Campo bipolar. De acuerdo a estudios recientes, existen alrededor de 5.3 millones de unidades económicas rurales. En este universo se observa un alto contraste en</w:t>
      </w:r>
      <w:r w:rsidR="005F58E9">
        <w:t>tre sus extremos, ya que el 73</w:t>
      </w:r>
      <w:r w:rsidRPr="00C21A75">
        <w:t>% son de subsisten</w:t>
      </w:r>
      <w:r w:rsidR="00121543" w:rsidRPr="00C21A75">
        <w:t xml:space="preserve">cia o con limitada vinculación al </w:t>
      </w:r>
      <w:r w:rsidR="001D6B13">
        <w:t>mercado,</w:t>
      </w:r>
      <w:r w:rsidRPr="00C21A75">
        <w:t xml:space="preserve"> mientras que menos de </w:t>
      </w:r>
      <w:r w:rsidR="00461BFD" w:rsidRPr="00C21A75">
        <w:t>1%</w:t>
      </w:r>
      <w:r w:rsidRPr="00C21A75">
        <w:t xml:space="preserve"> de las unidades tienen la escala productiva competitiva (menos de 18 mil unidades en todo el país). </w:t>
      </w:r>
    </w:p>
    <w:p w:rsidR="0094241E" w:rsidRDefault="0094241E" w:rsidP="00C21A75"/>
    <w:p w:rsidR="00F87170" w:rsidRDefault="0094241E" w:rsidP="001D6B13">
      <w:pPr>
        <w:pStyle w:val="Cuadros"/>
      </w:pPr>
      <w:r>
        <w:t xml:space="preserve">Tabla 2. </w:t>
      </w:r>
      <w:r w:rsidR="00F87170" w:rsidRPr="00F87170">
        <w:t>Estratos en las Unidades Económicas Rurales</w:t>
      </w:r>
    </w:p>
    <w:tbl>
      <w:tblPr>
        <w:tblW w:w="9369" w:type="dxa"/>
        <w:jc w:val="center"/>
        <w:tblCellMar>
          <w:left w:w="70" w:type="dxa"/>
          <w:right w:w="70" w:type="dxa"/>
        </w:tblCellMar>
        <w:tblLook w:val="04A0" w:firstRow="1" w:lastRow="0" w:firstColumn="1" w:lastColumn="0" w:noHBand="0" w:noVBand="1"/>
      </w:tblPr>
      <w:tblGrid>
        <w:gridCol w:w="2620"/>
        <w:gridCol w:w="1504"/>
        <w:gridCol w:w="1276"/>
        <w:gridCol w:w="1417"/>
        <w:gridCol w:w="1418"/>
        <w:gridCol w:w="1134"/>
      </w:tblGrid>
      <w:tr w:rsidR="00F87170" w:rsidRPr="001D6B13" w:rsidTr="0056527C">
        <w:trPr>
          <w:trHeight w:val="525"/>
          <w:jc w:val="center"/>
        </w:trPr>
        <w:tc>
          <w:tcPr>
            <w:tcW w:w="2620" w:type="dxa"/>
            <w:vMerge w:val="restart"/>
            <w:tcBorders>
              <w:top w:val="single" w:sz="4" w:space="0" w:color="auto"/>
              <w:left w:val="single" w:sz="4" w:space="0" w:color="auto"/>
              <w:bottom w:val="single" w:sz="4" w:space="0" w:color="auto"/>
              <w:right w:val="single" w:sz="4" w:space="0" w:color="auto"/>
            </w:tcBorders>
            <w:shd w:val="clear" w:color="000000" w:fill="4F6228"/>
            <w:vAlign w:val="center"/>
            <w:hideMark/>
          </w:tcPr>
          <w:p w:rsidR="00F87170" w:rsidRPr="001D6B13" w:rsidRDefault="00F87170" w:rsidP="001D6B13">
            <w:pPr>
              <w:ind w:firstLine="0"/>
              <w:jc w:val="center"/>
              <w:rPr>
                <w:b/>
                <w:lang w:eastAsia="es-MX"/>
              </w:rPr>
            </w:pPr>
            <w:r w:rsidRPr="001D6B13">
              <w:rPr>
                <w:b/>
                <w:lang w:eastAsia="es-MX"/>
              </w:rPr>
              <w:t>ESTRATOS</w:t>
            </w:r>
          </w:p>
        </w:tc>
        <w:tc>
          <w:tcPr>
            <w:tcW w:w="1504" w:type="dxa"/>
            <w:vMerge w:val="restart"/>
            <w:tcBorders>
              <w:top w:val="single" w:sz="4" w:space="0" w:color="auto"/>
              <w:left w:val="single" w:sz="4" w:space="0" w:color="auto"/>
              <w:bottom w:val="single" w:sz="4" w:space="0" w:color="auto"/>
              <w:right w:val="single" w:sz="4" w:space="0" w:color="auto"/>
            </w:tcBorders>
            <w:shd w:val="clear" w:color="000000" w:fill="4F6228"/>
            <w:vAlign w:val="center"/>
            <w:hideMark/>
          </w:tcPr>
          <w:p w:rsidR="00F87170" w:rsidRPr="001D6B13" w:rsidRDefault="00F87170" w:rsidP="001D6B13">
            <w:pPr>
              <w:ind w:hanging="14"/>
              <w:jc w:val="center"/>
              <w:rPr>
                <w:b/>
                <w:lang w:eastAsia="es-MX"/>
              </w:rPr>
            </w:pPr>
            <w:r w:rsidRPr="001D6B13">
              <w:rPr>
                <w:b/>
                <w:lang w:eastAsia="es-MX"/>
              </w:rPr>
              <w:t>Unidades Económicas Rurales</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4F6228"/>
            <w:vAlign w:val="center"/>
            <w:hideMark/>
          </w:tcPr>
          <w:p w:rsidR="00F87170" w:rsidRPr="001D6B13" w:rsidRDefault="00F87170" w:rsidP="001D6B13">
            <w:pPr>
              <w:ind w:firstLine="0"/>
              <w:jc w:val="center"/>
              <w:rPr>
                <w:b/>
                <w:lang w:eastAsia="es-MX"/>
              </w:rPr>
            </w:pPr>
            <w:r w:rsidRPr="001D6B13">
              <w:rPr>
                <w:b/>
                <w:lang w:eastAsia="es-MX"/>
              </w:rPr>
              <w:t>% Unidades por Estrato</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4F6228"/>
            <w:vAlign w:val="center"/>
            <w:hideMark/>
          </w:tcPr>
          <w:p w:rsidR="001D6B13" w:rsidRPr="001D6B13" w:rsidRDefault="001D6B13" w:rsidP="001D6B13">
            <w:pPr>
              <w:ind w:firstLine="0"/>
              <w:jc w:val="center"/>
              <w:rPr>
                <w:b/>
                <w:lang w:eastAsia="es-MX"/>
              </w:rPr>
            </w:pPr>
            <w:r w:rsidRPr="001D6B13">
              <w:rPr>
                <w:b/>
                <w:lang w:eastAsia="es-MX"/>
              </w:rPr>
              <w:t>Ingresos por ventas promedio</w:t>
            </w:r>
          </w:p>
          <w:p w:rsidR="00F87170" w:rsidRPr="001D6B13" w:rsidRDefault="00F87170" w:rsidP="001D6B13">
            <w:pPr>
              <w:ind w:firstLine="0"/>
              <w:jc w:val="center"/>
              <w:rPr>
                <w:b/>
                <w:lang w:eastAsia="es-MX"/>
              </w:rPr>
            </w:pPr>
            <w:r w:rsidRPr="001D6B13">
              <w:rPr>
                <w:b/>
                <w:lang w:eastAsia="es-MX"/>
              </w:rPr>
              <w:t>($)</w:t>
            </w:r>
          </w:p>
        </w:tc>
        <w:tc>
          <w:tcPr>
            <w:tcW w:w="1418" w:type="dxa"/>
            <w:vMerge w:val="restart"/>
            <w:tcBorders>
              <w:top w:val="single" w:sz="4" w:space="0" w:color="auto"/>
              <w:left w:val="single" w:sz="4" w:space="0" w:color="auto"/>
              <w:bottom w:val="single" w:sz="4" w:space="0" w:color="000000"/>
              <w:right w:val="single" w:sz="4" w:space="0" w:color="auto"/>
            </w:tcBorders>
            <w:shd w:val="clear" w:color="000000" w:fill="4F6228"/>
            <w:vAlign w:val="center"/>
            <w:hideMark/>
          </w:tcPr>
          <w:p w:rsidR="001D6B13" w:rsidRPr="001D6B13" w:rsidRDefault="001D6B13" w:rsidP="001D6B13">
            <w:pPr>
              <w:ind w:firstLine="0"/>
              <w:jc w:val="center"/>
              <w:rPr>
                <w:b/>
                <w:lang w:eastAsia="es-MX"/>
              </w:rPr>
            </w:pPr>
            <w:r w:rsidRPr="001D6B13">
              <w:rPr>
                <w:b/>
                <w:lang w:eastAsia="es-MX"/>
              </w:rPr>
              <w:t>Ingreso por ventas total</w:t>
            </w:r>
          </w:p>
          <w:p w:rsidR="00F87170" w:rsidRPr="001D6B13" w:rsidRDefault="00F87170" w:rsidP="001D6B13">
            <w:pPr>
              <w:ind w:firstLine="0"/>
              <w:jc w:val="center"/>
              <w:rPr>
                <w:b/>
                <w:lang w:eastAsia="es-MX"/>
              </w:rPr>
            </w:pPr>
            <w:r w:rsidRPr="001D6B13">
              <w:rPr>
                <w:b/>
                <w:lang w:eastAsia="es-MX"/>
              </w:rPr>
              <w:t>(mdp)</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4F6228"/>
            <w:vAlign w:val="center"/>
            <w:hideMark/>
          </w:tcPr>
          <w:p w:rsidR="00F87170" w:rsidRPr="001D6B13" w:rsidRDefault="00F87170" w:rsidP="001D6B13">
            <w:pPr>
              <w:ind w:firstLine="0"/>
              <w:jc w:val="center"/>
              <w:rPr>
                <w:b/>
                <w:lang w:eastAsia="es-MX"/>
              </w:rPr>
            </w:pPr>
            <w:r w:rsidRPr="001D6B13">
              <w:rPr>
                <w:b/>
                <w:lang w:eastAsia="es-MX"/>
              </w:rPr>
              <w:t>% Ingreso por Estrato</w:t>
            </w:r>
          </w:p>
        </w:tc>
      </w:tr>
      <w:tr w:rsidR="00F87170" w:rsidRPr="008351D4" w:rsidTr="0056527C">
        <w:trPr>
          <w:trHeight w:val="358"/>
          <w:jc w:val="center"/>
        </w:trPr>
        <w:tc>
          <w:tcPr>
            <w:tcW w:w="2620" w:type="dxa"/>
            <w:vMerge/>
            <w:tcBorders>
              <w:top w:val="single" w:sz="4" w:space="0" w:color="auto"/>
              <w:left w:val="single" w:sz="4" w:space="0" w:color="auto"/>
              <w:bottom w:val="single" w:sz="4" w:space="0" w:color="auto"/>
              <w:right w:val="single" w:sz="4" w:space="0" w:color="auto"/>
            </w:tcBorders>
            <w:shd w:val="clear" w:color="000000" w:fill="4F6228"/>
            <w:vAlign w:val="center"/>
            <w:hideMark/>
          </w:tcPr>
          <w:p w:rsidR="00F87170" w:rsidRPr="008351D4" w:rsidRDefault="00F87170" w:rsidP="00C21A75">
            <w:pPr>
              <w:rPr>
                <w:lang w:eastAsia="es-MX"/>
              </w:rPr>
            </w:pPr>
          </w:p>
        </w:tc>
        <w:tc>
          <w:tcPr>
            <w:tcW w:w="1504" w:type="dxa"/>
            <w:vMerge/>
            <w:tcBorders>
              <w:top w:val="single" w:sz="4" w:space="0" w:color="auto"/>
              <w:left w:val="single" w:sz="4" w:space="0" w:color="auto"/>
              <w:bottom w:val="single" w:sz="4" w:space="0" w:color="auto"/>
              <w:right w:val="single" w:sz="4" w:space="0" w:color="auto"/>
            </w:tcBorders>
            <w:shd w:val="clear" w:color="000000" w:fill="4F6228"/>
            <w:vAlign w:val="center"/>
            <w:hideMark/>
          </w:tcPr>
          <w:p w:rsidR="00F87170" w:rsidRPr="008351D4" w:rsidRDefault="00F87170" w:rsidP="00C21A75">
            <w:pPr>
              <w:rPr>
                <w:lang w:eastAsia="es-MX"/>
              </w:rPr>
            </w:pPr>
          </w:p>
        </w:tc>
        <w:tc>
          <w:tcPr>
            <w:tcW w:w="1276" w:type="dxa"/>
            <w:vMerge/>
            <w:tcBorders>
              <w:top w:val="single" w:sz="4" w:space="0" w:color="auto"/>
              <w:left w:val="single" w:sz="4" w:space="0" w:color="auto"/>
              <w:bottom w:val="single" w:sz="4" w:space="0" w:color="auto"/>
              <w:right w:val="single" w:sz="4" w:space="0" w:color="auto"/>
            </w:tcBorders>
            <w:shd w:val="clear" w:color="000000" w:fill="4F6228"/>
            <w:vAlign w:val="center"/>
            <w:hideMark/>
          </w:tcPr>
          <w:p w:rsidR="00F87170" w:rsidRPr="008351D4" w:rsidRDefault="00F87170" w:rsidP="00C21A75">
            <w:pPr>
              <w:rPr>
                <w:lang w:eastAsia="es-MX"/>
              </w:rPr>
            </w:pPr>
          </w:p>
        </w:tc>
        <w:tc>
          <w:tcPr>
            <w:tcW w:w="1417" w:type="dxa"/>
            <w:vMerge/>
            <w:tcBorders>
              <w:top w:val="single" w:sz="4" w:space="0" w:color="auto"/>
              <w:left w:val="single" w:sz="4" w:space="0" w:color="auto"/>
              <w:bottom w:val="single" w:sz="4" w:space="0" w:color="auto"/>
              <w:right w:val="single" w:sz="4" w:space="0" w:color="auto"/>
            </w:tcBorders>
            <w:shd w:val="clear" w:color="000000" w:fill="4F6228"/>
            <w:vAlign w:val="center"/>
            <w:hideMark/>
          </w:tcPr>
          <w:p w:rsidR="00F87170" w:rsidRPr="008351D4" w:rsidRDefault="00F87170" w:rsidP="00C21A75">
            <w:pPr>
              <w:rPr>
                <w:lang w:eastAsia="es-MX"/>
              </w:rPr>
            </w:pPr>
          </w:p>
        </w:tc>
        <w:tc>
          <w:tcPr>
            <w:tcW w:w="1418" w:type="dxa"/>
            <w:vMerge/>
            <w:tcBorders>
              <w:top w:val="single" w:sz="4" w:space="0" w:color="auto"/>
              <w:left w:val="single" w:sz="4" w:space="0" w:color="auto"/>
              <w:bottom w:val="single" w:sz="4" w:space="0" w:color="000000"/>
              <w:right w:val="single" w:sz="4" w:space="0" w:color="auto"/>
            </w:tcBorders>
            <w:shd w:val="clear" w:color="000000" w:fill="4F6228"/>
            <w:vAlign w:val="center"/>
            <w:hideMark/>
          </w:tcPr>
          <w:p w:rsidR="00F87170" w:rsidRPr="008351D4" w:rsidRDefault="00F87170" w:rsidP="00C21A75">
            <w:pPr>
              <w:rPr>
                <w:lang w:eastAsia="es-MX"/>
              </w:rPr>
            </w:pPr>
          </w:p>
        </w:tc>
        <w:tc>
          <w:tcPr>
            <w:tcW w:w="1134" w:type="dxa"/>
            <w:vMerge/>
            <w:tcBorders>
              <w:top w:val="single" w:sz="4" w:space="0" w:color="auto"/>
              <w:left w:val="single" w:sz="4" w:space="0" w:color="auto"/>
              <w:bottom w:val="single" w:sz="4" w:space="0" w:color="auto"/>
              <w:right w:val="single" w:sz="4" w:space="0" w:color="auto"/>
            </w:tcBorders>
            <w:shd w:val="clear" w:color="000000" w:fill="4F6228"/>
            <w:vAlign w:val="center"/>
            <w:hideMark/>
          </w:tcPr>
          <w:p w:rsidR="00F87170" w:rsidRPr="008351D4" w:rsidRDefault="00F87170" w:rsidP="00C21A75">
            <w:pPr>
              <w:rPr>
                <w:lang w:eastAsia="es-MX"/>
              </w:rPr>
            </w:pPr>
          </w:p>
        </w:tc>
      </w:tr>
      <w:tr w:rsidR="00F87170" w:rsidRPr="008351D4" w:rsidTr="001D6B13">
        <w:trPr>
          <w:trHeight w:val="60"/>
          <w:jc w:val="center"/>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F87170" w:rsidRPr="008351D4" w:rsidRDefault="00F87170" w:rsidP="001D6B13">
            <w:pPr>
              <w:ind w:firstLine="0"/>
              <w:jc w:val="left"/>
              <w:rPr>
                <w:lang w:eastAsia="es-MX"/>
              </w:rPr>
            </w:pPr>
            <w:r w:rsidRPr="008351D4">
              <w:rPr>
                <w:lang w:eastAsia="es-MX"/>
              </w:rPr>
              <w:t>E1: Familiar de subsistencia sin vinculación al mercado</w:t>
            </w:r>
          </w:p>
        </w:tc>
        <w:tc>
          <w:tcPr>
            <w:tcW w:w="1504" w:type="dxa"/>
            <w:tcBorders>
              <w:top w:val="nil"/>
              <w:left w:val="nil"/>
              <w:bottom w:val="single" w:sz="4" w:space="0" w:color="auto"/>
              <w:right w:val="single" w:sz="4" w:space="0" w:color="auto"/>
            </w:tcBorders>
            <w:shd w:val="clear" w:color="000000" w:fill="FFFFFF"/>
            <w:vAlign w:val="center"/>
            <w:hideMark/>
          </w:tcPr>
          <w:p w:rsidR="00F87170" w:rsidRPr="008351D4" w:rsidRDefault="00F87170" w:rsidP="001D6B13">
            <w:pPr>
              <w:ind w:right="244" w:firstLine="0"/>
              <w:jc w:val="right"/>
              <w:rPr>
                <w:lang w:eastAsia="es-MX"/>
              </w:rPr>
            </w:pPr>
            <w:r w:rsidRPr="008351D4">
              <w:rPr>
                <w:lang w:eastAsia="es-MX"/>
              </w:rPr>
              <w:t xml:space="preserve">1,192,029 </w:t>
            </w:r>
          </w:p>
        </w:tc>
        <w:tc>
          <w:tcPr>
            <w:tcW w:w="1276" w:type="dxa"/>
            <w:tcBorders>
              <w:top w:val="nil"/>
              <w:left w:val="nil"/>
              <w:bottom w:val="single" w:sz="4" w:space="0" w:color="auto"/>
              <w:right w:val="single" w:sz="4" w:space="0" w:color="auto"/>
            </w:tcBorders>
            <w:shd w:val="clear" w:color="000000" w:fill="FFFFFF"/>
            <w:vAlign w:val="center"/>
            <w:hideMark/>
          </w:tcPr>
          <w:p w:rsidR="00F87170" w:rsidRPr="008351D4" w:rsidRDefault="00F87170" w:rsidP="001D6B13">
            <w:pPr>
              <w:ind w:right="244" w:firstLine="0"/>
              <w:jc w:val="right"/>
              <w:rPr>
                <w:lang w:eastAsia="es-MX"/>
              </w:rPr>
            </w:pPr>
            <w:r w:rsidRPr="008351D4">
              <w:rPr>
                <w:lang w:eastAsia="es-MX"/>
              </w:rPr>
              <w:t>22.4%</w:t>
            </w:r>
          </w:p>
        </w:tc>
        <w:tc>
          <w:tcPr>
            <w:tcW w:w="1417" w:type="dxa"/>
            <w:tcBorders>
              <w:top w:val="nil"/>
              <w:left w:val="nil"/>
              <w:bottom w:val="single" w:sz="4" w:space="0" w:color="auto"/>
              <w:right w:val="single" w:sz="4" w:space="0" w:color="auto"/>
            </w:tcBorders>
            <w:shd w:val="clear" w:color="000000" w:fill="FFFFFF"/>
            <w:vAlign w:val="center"/>
            <w:hideMark/>
          </w:tcPr>
          <w:p w:rsidR="00F87170" w:rsidRPr="008351D4" w:rsidRDefault="00F87170" w:rsidP="001D6B13">
            <w:pPr>
              <w:ind w:firstLine="0"/>
              <w:jc w:val="center"/>
              <w:rPr>
                <w:lang w:eastAsia="es-MX"/>
              </w:rPr>
            </w:pPr>
            <w:r w:rsidRPr="008351D4">
              <w:rPr>
                <w:lang w:eastAsia="es-MX"/>
              </w:rPr>
              <w:t>-</w:t>
            </w:r>
          </w:p>
        </w:tc>
        <w:tc>
          <w:tcPr>
            <w:tcW w:w="1418" w:type="dxa"/>
            <w:tcBorders>
              <w:top w:val="nil"/>
              <w:left w:val="nil"/>
              <w:bottom w:val="single" w:sz="4" w:space="0" w:color="auto"/>
              <w:right w:val="single" w:sz="4" w:space="0" w:color="auto"/>
            </w:tcBorders>
            <w:shd w:val="clear" w:color="000000" w:fill="FFFFFF"/>
            <w:noWrap/>
            <w:vAlign w:val="center"/>
            <w:hideMark/>
          </w:tcPr>
          <w:p w:rsidR="00F87170" w:rsidRPr="008351D4" w:rsidRDefault="00F87170" w:rsidP="001D6B13">
            <w:pPr>
              <w:ind w:firstLine="0"/>
              <w:jc w:val="center"/>
              <w:rPr>
                <w:lang w:eastAsia="es-MX"/>
              </w:rPr>
            </w:pPr>
            <w:r w:rsidRPr="008351D4">
              <w:rPr>
                <w:lang w:eastAsia="es-MX"/>
              </w:rPr>
              <w:t>-</w:t>
            </w:r>
          </w:p>
        </w:tc>
        <w:tc>
          <w:tcPr>
            <w:tcW w:w="1134" w:type="dxa"/>
            <w:tcBorders>
              <w:top w:val="nil"/>
              <w:left w:val="nil"/>
              <w:bottom w:val="single" w:sz="4" w:space="0" w:color="auto"/>
              <w:right w:val="single" w:sz="4" w:space="0" w:color="auto"/>
            </w:tcBorders>
            <w:shd w:val="clear" w:color="000000" w:fill="FFFFFF"/>
            <w:vAlign w:val="center"/>
            <w:hideMark/>
          </w:tcPr>
          <w:p w:rsidR="00F87170" w:rsidRPr="008351D4" w:rsidRDefault="00F87170" w:rsidP="0056527C">
            <w:pPr>
              <w:ind w:right="174" w:firstLine="0"/>
              <w:jc w:val="right"/>
              <w:rPr>
                <w:lang w:eastAsia="es-MX"/>
              </w:rPr>
            </w:pPr>
            <w:r w:rsidRPr="008351D4">
              <w:rPr>
                <w:lang w:eastAsia="es-MX"/>
              </w:rPr>
              <w:t>0.0%</w:t>
            </w:r>
          </w:p>
        </w:tc>
      </w:tr>
      <w:tr w:rsidR="00F87170" w:rsidRPr="008351D4" w:rsidTr="001D6B13">
        <w:trPr>
          <w:trHeight w:val="60"/>
          <w:jc w:val="center"/>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F87170" w:rsidRPr="008351D4" w:rsidRDefault="00F87170" w:rsidP="001D6B13">
            <w:pPr>
              <w:ind w:firstLine="0"/>
              <w:jc w:val="left"/>
              <w:rPr>
                <w:lang w:eastAsia="es-MX"/>
              </w:rPr>
            </w:pPr>
            <w:r w:rsidRPr="008351D4">
              <w:rPr>
                <w:lang w:eastAsia="es-MX"/>
              </w:rPr>
              <w:t>E2: Familiar de subsistencia con vinculación al mercado</w:t>
            </w:r>
          </w:p>
        </w:tc>
        <w:tc>
          <w:tcPr>
            <w:tcW w:w="1504" w:type="dxa"/>
            <w:tcBorders>
              <w:top w:val="nil"/>
              <w:left w:val="nil"/>
              <w:bottom w:val="single" w:sz="4" w:space="0" w:color="auto"/>
              <w:right w:val="single" w:sz="4" w:space="0" w:color="auto"/>
            </w:tcBorders>
            <w:shd w:val="clear" w:color="000000" w:fill="FFFFFF"/>
            <w:vAlign w:val="center"/>
            <w:hideMark/>
          </w:tcPr>
          <w:p w:rsidR="00F87170" w:rsidRPr="008351D4" w:rsidRDefault="00F87170" w:rsidP="001D6B13">
            <w:pPr>
              <w:ind w:right="244" w:firstLine="0"/>
              <w:jc w:val="right"/>
              <w:rPr>
                <w:lang w:eastAsia="es-MX"/>
              </w:rPr>
            </w:pPr>
            <w:r w:rsidRPr="008351D4">
              <w:rPr>
                <w:lang w:eastAsia="es-MX"/>
              </w:rPr>
              <w:t xml:space="preserve">2,696,735 </w:t>
            </w:r>
          </w:p>
        </w:tc>
        <w:tc>
          <w:tcPr>
            <w:tcW w:w="1276" w:type="dxa"/>
            <w:tcBorders>
              <w:top w:val="nil"/>
              <w:left w:val="nil"/>
              <w:bottom w:val="single" w:sz="4" w:space="0" w:color="auto"/>
              <w:right w:val="single" w:sz="4" w:space="0" w:color="auto"/>
            </w:tcBorders>
            <w:shd w:val="clear" w:color="000000" w:fill="FFFFFF"/>
            <w:vAlign w:val="center"/>
            <w:hideMark/>
          </w:tcPr>
          <w:p w:rsidR="00F87170" w:rsidRPr="008351D4" w:rsidRDefault="00F87170" w:rsidP="001D6B13">
            <w:pPr>
              <w:ind w:right="244" w:firstLine="0"/>
              <w:jc w:val="right"/>
              <w:rPr>
                <w:lang w:eastAsia="es-MX"/>
              </w:rPr>
            </w:pPr>
            <w:r w:rsidRPr="008351D4">
              <w:rPr>
                <w:lang w:eastAsia="es-MX"/>
              </w:rPr>
              <w:t>50.6%</w:t>
            </w:r>
          </w:p>
        </w:tc>
        <w:tc>
          <w:tcPr>
            <w:tcW w:w="1417" w:type="dxa"/>
            <w:tcBorders>
              <w:top w:val="nil"/>
              <w:left w:val="nil"/>
              <w:bottom w:val="single" w:sz="4" w:space="0" w:color="auto"/>
              <w:right w:val="single" w:sz="4" w:space="0" w:color="auto"/>
            </w:tcBorders>
            <w:shd w:val="clear" w:color="000000" w:fill="FFFFFF"/>
            <w:vAlign w:val="center"/>
            <w:hideMark/>
          </w:tcPr>
          <w:p w:rsidR="00F87170" w:rsidRPr="008351D4" w:rsidRDefault="00F87170" w:rsidP="001D6B13">
            <w:pPr>
              <w:ind w:right="244" w:firstLine="0"/>
              <w:jc w:val="right"/>
              <w:rPr>
                <w:lang w:eastAsia="es-MX"/>
              </w:rPr>
            </w:pPr>
            <w:r w:rsidRPr="008351D4">
              <w:rPr>
                <w:lang w:eastAsia="es-MX"/>
              </w:rPr>
              <w:t>17,205</w:t>
            </w:r>
          </w:p>
        </w:tc>
        <w:tc>
          <w:tcPr>
            <w:tcW w:w="1418" w:type="dxa"/>
            <w:tcBorders>
              <w:top w:val="nil"/>
              <w:left w:val="nil"/>
              <w:bottom w:val="single" w:sz="4" w:space="0" w:color="auto"/>
              <w:right w:val="single" w:sz="4" w:space="0" w:color="auto"/>
            </w:tcBorders>
            <w:shd w:val="clear" w:color="000000" w:fill="FFFFFF"/>
            <w:noWrap/>
            <w:vAlign w:val="center"/>
            <w:hideMark/>
          </w:tcPr>
          <w:p w:rsidR="00F87170" w:rsidRPr="008351D4" w:rsidRDefault="00F87170" w:rsidP="001D6B13">
            <w:pPr>
              <w:ind w:right="244" w:firstLine="0"/>
              <w:jc w:val="right"/>
              <w:rPr>
                <w:lang w:eastAsia="es-MX"/>
              </w:rPr>
            </w:pPr>
            <w:r w:rsidRPr="008351D4">
              <w:rPr>
                <w:lang w:eastAsia="es-MX"/>
              </w:rPr>
              <w:t>46,397</w:t>
            </w:r>
          </w:p>
        </w:tc>
        <w:tc>
          <w:tcPr>
            <w:tcW w:w="1134" w:type="dxa"/>
            <w:tcBorders>
              <w:top w:val="nil"/>
              <w:left w:val="nil"/>
              <w:bottom w:val="single" w:sz="4" w:space="0" w:color="auto"/>
              <w:right w:val="single" w:sz="4" w:space="0" w:color="auto"/>
            </w:tcBorders>
            <w:shd w:val="clear" w:color="000000" w:fill="FFFFFF"/>
            <w:vAlign w:val="center"/>
            <w:hideMark/>
          </w:tcPr>
          <w:p w:rsidR="00F87170" w:rsidRPr="008351D4" w:rsidRDefault="00F87170" w:rsidP="0056527C">
            <w:pPr>
              <w:ind w:right="174" w:firstLine="0"/>
              <w:jc w:val="right"/>
              <w:rPr>
                <w:lang w:eastAsia="es-MX"/>
              </w:rPr>
            </w:pPr>
            <w:r w:rsidRPr="008351D4">
              <w:rPr>
                <w:lang w:eastAsia="es-MX"/>
              </w:rPr>
              <w:t>7.5%</w:t>
            </w:r>
          </w:p>
        </w:tc>
      </w:tr>
      <w:tr w:rsidR="00F87170" w:rsidRPr="008351D4" w:rsidTr="001D6B13">
        <w:trPr>
          <w:trHeight w:val="60"/>
          <w:jc w:val="center"/>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F87170" w:rsidRPr="008351D4" w:rsidRDefault="00F87170" w:rsidP="001D6B13">
            <w:pPr>
              <w:ind w:firstLine="0"/>
              <w:jc w:val="left"/>
              <w:rPr>
                <w:lang w:eastAsia="es-MX"/>
              </w:rPr>
            </w:pPr>
            <w:r w:rsidRPr="008351D4">
              <w:rPr>
                <w:lang w:eastAsia="es-MX"/>
              </w:rPr>
              <w:t>E3: En transición</w:t>
            </w:r>
          </w:p>
        </w:tc>
        <w:tc>
          <w:tcPr>
            <w:tcW w:w="1504" w:type="dxa"/>
            <w:tcBorders>
              <w:top w:val="nil"/>
              <w:left w:val="nil"/>
              <w:bottom w:val="single" w:sz="4" w:space="0" w:color="auto"/>
              <w:right w:val="single" w:sz="4" w:space="0" w:color="auto"/>
            </w:tcBorders>
            <w:shd w:val="clear" w:color="000000" w:fill="FFFFFF"/>
            <w:vAlign w:val="center"/>
            <w:hideMark/>
          </w:tcPr>
          <w:p w:rsidR="00F87170" w:rsidRPr="008351D4" w:rsidRDefault="00F87170" w:rsidP="001D6B13">
            <w:pPr>
              <w:ind w:right="244" w:firstLine="0"/>
              <w:jc w:val="right"/>
              <w:rPr>
                <w:lang w:eastAsia="es-MX"/>
              </w:rPr>
            </w:pPr>
            <w:r w:rsidRPr="008351D4">
              <w:rPr>
                <w:lang w:eastAsia="es-MX"/>
              </w:rPr>
              <w:t xml:space="preserve">442,370 </w:t>
            </w:r>
          </w:p>
        </w:tc>
        <w:tc>
          <w:tcPr>
            <w:tcW w:w="1276" w:type="dxa"/>
            <w:tcBorders>
              <w:top w:val="nil"/>
              <w:left w:val="nil"/>
              <w:bottom w:val="single" w:sz="4" w:space="0" w:color="auto"/>
              <w:right w:val="single" w:sz="4" w:space="0" w:color="auto"/>
            </w:tcBorders>
            <w:shd w:val="clear" w:color="000000" w:fill="FFFFFF"/>
            <w:vAlign w:val="center"/>
            <w:hideMark/>
          </w:tcPr>
          <w:p w:rsidR="00F87170" w:rsidRPr="008351D4" w:rsidRDefault="00F87170" w:rsidP="001D6B13">
            <w:pPr>
              <w:ind w:right="244" w:firstLine="0"/>
              <w:jc w:val="right"/>
              <w:rPr>
                <w:lang w:eastAsia="es-MX"/>
              </w:rPr>
            </w:pPr>
            <w:r w:rsidRPr="008351D4">
              <w:rPr>
                <w:lang w:eastAsia="es-MX"/>
              </w:rPr>
              <w:t>8.3%</w:t>
            </w:r>
          </w:p>
        </w:tc>
        <w:tc>
          <w:tcPr>
            <w:tcW w:w="1417" w:type="dxa"/>
            <w:tcBorders>
              <w:top w:val="nil"/>
              <w:left w:val="nil"/>
              <w:bottom w:val="single" w:sz="4" w:space="0" w:color="auto"/>
              <w:right w:val="single" w:sz="4" w:space="0" w:color="auto"/>
            </w:tcBorders>
            <w:shd w:val="clear" w:color="000000" w:fill="FFFFFF"/>
            <w:vAlign w:val="center"/>
            <w:hideMark/>
          </w:tcPr>
          <w:p w:rsidR="00F87170" w:rsidRPr="008351D4" w:rsidRDefault="00F87170" w:rsidP="001D6B13">
            <w:pPr>
              <w:ind w:right="244" w:firstLine="0"/>
              <w:jc w:val="right"/>
              <w:rPr>
                <w:lang w:eastAsia="es-MX"/>
              </w:rPr>
            </w:pPr>
            <w:r w:rsidRPr="008351D4">
              <w:rPr>
                <w:lang w:eastAsia="es-MX"/>
              </w:rPr>
              <w:t>73,931</w:t>
            </w:r>
          </w:p>
        </w:tc>
        <w:tc>
          <w:tcPr>
            <w:tcW w:w="1418" w:type="dxa"/>
            <w:tcBorders>
              <w:top w:val="nil"/>
              <w:left w:val="nil"/>
              <w:bottom w:val="single" w:sz="4" w:space="0" w:color="auto"/>
              <w:right w:val="single" w:sz="4" w:space="0" w:color="auto"/>
            </w:tcBorders>
            <w:shd w:val="clear" w:color="000000" w:fill="FFFFFF"/>
            <w:noWrap/>
            <w:vAlign w:val="center"/>
            <w:hideMark/>
          </w:tcPr>
          <w:p w:rsidR="00F87170" w:rsidRPr="008351D4" w:rsidRDefault="00F87170" w:rsidP="001D6B13">
            <w:pPr>
              <w:ind w:right="244" w:firstLine="0"/>
              <w:jc w:val="right"/>
              <w:rPr>
                <w:lang w:eastAsia="es-MX"/>
              </w:rPr>
            </w:pPr>
            <w:r w:rsidRPr="008351D4">
              <w:rPr>
                <w:lang w:eastAsia="es-MX"/>
              </w:rPr>
              <w:t>32,705</w:t>
            </w:r>
          </w:p>
        </w:tc>
        <w:tc>
          <w:tcPr>
            <w:tcW w:w="1134" w:type="dxa"/>
            <w:tcBorders>
              <w:top w:val="nil"/>
              <w:left w:val="nil"/>
              <w:bottom w:val="single" w:sz="4" w:space="0" w:color="auto"/>
              <w:right w:val="single" w:sz="4" w:space="0" w:color="auto"/>
            </w:tcBorders>
            <w:shd w:val="clear" w:color="000000" w:fill="FFFFFF"/>
            <w:vAlign w:val="center"/>
            <w:hideMark/>
          </w:tcPr>
          <w:p w:rsidR="00F87170" w:rsidRPr="008351D4" w:rsidRDefault="00F87170" w:rsidP="0056527C">
            <w:pPr>
              <w:ind w:right="174" w:firstLine="0"/>
              <w:jc w:val="right"/>
              <w:rPr>
                <w:lang w:eastAsia="es-MX"/>
              </w:rPr>
            </w:pPr>
            <w:r w:rsidRPr="008351D4">
              <w:rPr>
                <w:lang w:eastAsia="es-MX"/>
              </w:rPr>
              <w:t>5.3%</w:t>
            </w:r>
          </w:p>
        </w:tc>
      </w:tr>
      <w:tr w:rsidR="00F87170" w:rsidRPr="008351D4" w:rsidTr="001D6B13">
        <w:trPr>
          <w:trHeight w:val="60"/>
          <w:jc w:val="center"/>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F87170" w:rsidRPr="008351D4" w:rsidRDefault="00F87170" w:rsidP="001D6B13">
            <w:pPr>
              <w:ind w:firstLine="0"/>
              <w:jc w:val="left"/>
              <w:rPr>
                <w:lang w:eastAsia="es-MX"/>
              </w:rPr>
            </w:pPr>
            <w:r w:rsidRPr="008351D4">
              <w:rPr>
                <w:lang w:eastAsia="es-MX"/>
              </w:rPr>
              <w:t>Subtotal E1, E2, E3</w:t>
            </w:r>
          </w:p>
        </w:tc>
        <w:tc>
          <w:tcPr>
            <w:tcW w:w="1504" w:type="dxa"/>
            <w:tcBorders>
              <w:top w:val="nil"/>
              <w:left w:val="nil"/>
              <w:bottom w:val="single" w:sz="4" w:space="0" w:color="auto"/>
              <w:right w:val="single" w:sz="4" w:space="0" w:color="auto"/>
            </w:tcBorders>
            <w:shd w:val="clear" w:color="000000" w:fill="FFFFFF"/>
            <w:vAlign w:val="center"/>
            <w:hideMark/>
          </w:tcPr>
          <w:p w:rsidR="00F87170" w:rsidRPr="008351D4" w:rsidRDefault="00F87170" w:rsidP="001D6B13">
            <w:pPr>
              <w:ind w:right="244" w:firstLine="0"/>
              <w:jc w:val="right"/>
              <w:rPr>
                <w:lang w:eastAsia="es-MX"/>
              </w:rPr>
            </w:pPr>
            <w:r w:rsidRPr="008351D4">
              <w:rPr>
                <w:lang w:eastAsia="es-MX"/>
              </w:rPr>
              <w:t xml:space="preserve">4,331,134 </w:t>
            </w:r>
          </w:p>
        </w:tc>
        <w:tc>
          <w:tcPr>
            <w:tcW w:w="1276" w:type="dxa"/>
            <w:tcBorders>
              <w:top w:val="nil"/>
              <w:left w:val="nil"/>
              <w:bottom w:val="single" w:sz="4" w:space="0" w:color="auto"/>
              <w:right w:val="single" w:sz="4" w:space="0" w:color="auto"/>
            </w:tcBorders>
            <w:shd w:val="clear" w:color="000000" w:fill="FFFFFF"/>
            <w:vAlign w:val="center"/>
            <w:hideMark/>
          </w:tcPr>
          <w:p w:rsidR="00F87170" w:rsidRPr="008351D4" w:rsidRDefault="00F87170" w:rsidP="001D6B13">
            <w:pPr>
              <w:ind w:right="244" w:firstLine="0"/>
              <w:jc w:val="right"/>
              <w:rPr>
                <w:lang w:eastAsia="es-MX"/>
              </w:rPr>
            </w:pPr>
            <w:r w:rsidRPr="008351D4">
              <w:rPr>
                <w:lang w:eastAsia="es-MX"/>
              </w:rPr>
              <w:t>81.3%</w:t>
            </w:r>
          </w:p>
        </w:tc>
        <w:tc>
          <w:tcPr>
            <w:tcW w:w="1417" w:type="dxa"/>
            <w:tcBorders>
              <w:top w:val="nil"/>
              <w:left w:val="nil"/>
              <w:bottom w:val="single" w:sz="4" w:space="0" w:color="auto"/>
              <w:right w:val="single" w:sz="4" w:space="0" w:color="auto"/>
            </w:tcBorders>
            <w:shd w:val="clear" w:color="000000" w:fill="FFFFFF"/>
            <w:vAlign w:val="center"/>
            <w:hideMark/>
          </w:tcPr>
          <w:p w:rsidR="00F87170" w:rsidRPr="008351D4" w:rsidRDefault="00F87170" w:rsidP="001D6B13">
            <w:pPr>
              <w:ind w:right="244" w:firstLine="0"/>
              <w:jc w:val="right"/>
              <w:rPr>
                <w:lang w:eastAsia="es-MX"/>
              </w:rPr>
            </w:pPr>
            <w:r w:rsidRPr="008351D4">
              <w:rPr>
                <w:lang w:eastAsia="es-MX"/>
              </w:rPr>
              <w:t>18,264</w:t>
            </w:r>
          </w:p>
        </w:tc>
        <w:tc>
          <w:tcPr>
            <w:tcW w:w="1418" w:type="dxa"/>
            <w:tcBorders>
              <w:top w:val="nil"/>
              <w:left w:val="nil"/>
              <w:bottom w:val="single" w:sz="4" w:space="0" w:color="auto"/>
              <w:right w:val="single" w:sz="4" w:space="0" w:color="auto"/>
            </w:tcBorders>
            <w:shd w:val="clear" w:color="000000" w:fill="FFFFFF"/>
            <w:vAlign w:val="center"/>
            <w:hideMark/>
          </w:tcPr>
          <w:p w:rsidR="00F87170" w:rsidRPr="008351D4" w:rsidRDefault="00F87170" w:rsidP="001D6B13">
            <w:pPr>
              <w:ind w:right="244" w:firstLine="0"/>
              <w:jc w:val="right"/>
              <w:rPr>
                <w:lang w:eastAsia="es-MX"/>
              </w:rPr>
            </w:pPr>
            <w:r w:rsidRPr="008351D4">
              <w:rPr>
                <w:lang w:eastAsia="es-MX"/>
              </w:rPr>
              <w:t>79,102</w:t>
            </w:r>
          </w:p>
        </w:tc>
        <w:tc>
          <w:tcPr>
            <w:tcW w:w="1134" w:type="dxa"/>
            <w:tcBorders>
              <w:top w:val="nil"/>
              <w:left w:val="nil"/>
              <w:bottom w:val="single" w:sz="4" w:space="0" w:color="auto"/>
              <w:right w:val="single" w:sz="4" w:space="0" w:color="auto"/>
            </w:tcBorders>
            <w:shd w:val="clear" w:color="000000" w:fill="FFFFFF"/>
            <w:vAlign w:val="center"/>
            <w:hideMark/>
          </w:tcPr>
          <w:p w:rsidR="00F87170" w:rsidRPr="008351D4" w:rsidRDefault="00F87170" w:rsidP="0056527C">
            <w:pPr>
              <w:ind w:right="174" w:firstLine="0"/>
              <w:jc w:val="right"/>
              <w:rPr>
                <w:lang w:eastAsia="es-MX"/>
              </w:rPr>
            </w:pPr>
            <w:r w:rsidRPr="008351D4">
              <w:rPr>
                <w:lang w:eastAsia="es-MX"/>
              </w:rPr>
              <w:t>12.8%</w:t>
            </w:r>
          </w:p>
        </w:tc>
      </w:tr>
      <w:tr w:rsidR="00F87170" w:rsidRPr="008351D4" w:rsidTr="001D6B13">
        <w:trPr>
          <w:trHeight w:val="60"/>
          <w:jc w:val="center"/>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F87170" w:rsidRPr="008351D4" w:rsidRDefault="00F87170" w:rsidP="001D6B13">
            <w:pPr>
              <w:ind w:firstLine="0"/>
              <w:jc w:val="left"/>
              <w:rPr>
                <w:lang w:eastAsia="es-MX"/>
              </w:rPr>
            </w:pPr>
            <w:r w:rsidRPr="008351D4">
              <w:rPr>
                <w:lang w:eastAsia="es-MX"/>
              </w:rPr>
              <w:t xml:space="preserve">E4: Empresarial con </w:t>
            </w:r>
            <w:r w:rsidRPr="008351D4">
              <w:rPr>
                <w:lang w:eastAsia="es-MX"/>
              </w:rPr>
              <w:lastRenderedPageBreak/>
              <w:t>rentabilidad frágil</w:t>
            </w:r>
          </w:p>
        </w:tc>
        <w:tc>
          <w:tcPr>
            <w:tcW w:w="1504" w:type="dxa"/>
            <w:tcBorders>
              <w:top w:val="nil"/>
              <w:left w:val="nil"/>
              <w:bottom w:val="single" w:sz="4" w:space="0" w:color="auto"/>
              <w:right w:val="single" w:sz="4" w:space="0" w:color="auto"/>
            </w:tcBorders>
            <w:shd w:val="clear" w:color="000000" w:fill="FFFFFF"/>
            <w:vAlign w:val="center"/>
            <w:hideMark/>
          </w:tcPr>
          <w:p w:rsidR="00F87170" w:rsidRPr="008351D4" w:rsidRDefault="00F87170" w:rsidP="001D6B13">
            <w:pPr>
              <w:ind w:right="244" w:firstLine="0"/>
              <w:jc w:val="right"/>
              <w:rPr>
                <w:lang w:eastAsia="es-MX"/>
              </w:rPr>
            </w:pPr>
            <w:r w:rsidRPr="008351D4">
              <w:rPr>
                <w:lang w:eastAsia="es-MX"/>
              </w:rPr>
              <w:lastRenderedPageBreak/>
              <w:t xml:space="preserve">528,355 </w:t>
            </w:r>
          </w:p>
        </w:tc>
        <w:tc>
          <w:tcPr>
            <w:tcW w:w="1276" w:type="dxa"/>
            <w:tcBorders>
              <w:top w:val="nil"/>
              <w:left w:val="nil"/>
              <w:bottom w:val="single" w:sz="4" w:space="0" w:color="auto"/>
              <w:right w:val="single" w:sz="4" w:space="0" w:color="auto"/>
            </w:tcBorders>
            <w:shd w:val="clear" w:color="000000" w:fill="FFFFFF"/>
            <w:vAlign w:val="center"/>
            <w:hideMark/>
          </w:tcPr>
          <w:p w:rsidR="00F87170" w:rsidRPr="008351D4" w:rsidRDefault="00F87170" w:rsidP="001D6B13">
            <w:pPr>
              <w:ind w:right="244" w:firstLine="0"/>
              <w:jc w:val="right"/>
              <w:rPr>
                <w:lang w:eastAsia="es-MX"/>
              </w:rPr>
            </w:pPr>
            <w:r w:rsidRPr="008351D4">
              <w:rPr>
                <w:lang w:eastAsia="es-MX"/>
              </w:rPr>
              <w:t>9.9%</w:t>
            </w:r>
          </w:p>
        </w:tc>
        <w:tc>
          <w:tcPr>
            <w:tcW w:w="1417" w:type="dxa"/>
            <w:tcBorders>
              <w:top w:val="nil"/>
              <w:left w:val="nil"/>
              <w:bottom w:val="single" w:sz="4" w:space="0" w:color="auto"/>
              <w:right w:val="single" w:sz="4" w:space="0" w:color="auto"/>
            </w:tcBorders>
            <w:shd w:val="clear" w:color="000000" w:fill="FFFFFF"/>
            <w:vAlign w:val="center"/>
            <w:hideMark/>
          </w:tcPr>
          <w:p w:rsidR="00F87170" w:rsidRPr="008351D4" w:rsidRDefault="00F87170" w:rsidP="001D6B13">
            <w:pPr>
              <w:ind w:right="244" w:firstLine="0"/>
              <w:jc w:val="right"/>
              <w:rPr>
                <w:lang w:eastAsia="es-MX"/>
              </w:rPr>
            </w:pPr>
            <w:r w:rsidRPr="008351D4">
              <w:rPr>
                <w:lang w:eastAsia="es-MX"/>
              </w:rPr>
              <w:t>151,958</w:t>
            </w:r>
          </w:p>
        </w:tc>
        <w:tc>
          <w:tcPr>
            <w:tcW w:w="1418" w:type="dxa"/>
            <w:tcBorders>
              <w:top w:val="nil"/>
              <w:left w:val="nil"/>
              <w:bottom w:val="single" w:sz="4" w:space="0" w:color="auto"/>
              <w:right w:val="single" w:sz="4" w:space="0" w:color="auto"/>
            </w:tcBorders>
            <w:shd w:val="clear" w:color="000000" w:fill="FFFFFF"/>
            <w:noWrap/>
            <w:vAlign w:val="center"/>
            <w:hideMark/>
          </w:tcPr>
          <w:p w:rsidR="00F87170" w:rsidRPr="008351D4" w:rsidRDefault="00F87170" w:rsidP="001D6B13">
            <w:pPr>
              <w:ind w:right="244" w:firstLine="0"/>
              <w:jc w:val="right"/>
              <w:rPr>
                <w:lang w:eastAsia="es-MX"/>
              </w:rPr>
            </w:pPr>
            <w:r w:rsidRPr="008351D4">
              <w:rPr>
                <w:lang w:eastAsia="es-MX"/>
              </w:rPr>
              <w:t>80,288</w:t>
            </w:r>
          </w:p>
        </w:tc>
        <w:tc>
          <w:tcPr>
            <w:tcW w:w="1134" w:type="dxa"/>
            <w:tcBorders>
              <w:top w:val="nil"/>
              <w:left w:val="nil"/>
              <w:bottom w:val="single" w:sz="4" w:space="0" w:color="auto"/>
              <w:right w:val="single" w:sz="4" w:space="0" w:color="auto"/>
            </w:tcBorders>
            <w:shd w:val="clear" w:color="000000" w:fill="FFFFFF"/>
            <w:vAlign w:val="center"/>
            <w:hideMark/>
          </w:tcPr>
          <w:p w:rsidR="00F87170" w:rsidRPr="008351D4" w:rsidRDefault="00F87170" w:rsidP="0056527C">
            <w:pPr>
              <w:ind w:right="174" w:firstLine="0"/>
              <w:jc w:val="right"/>
              <w:rPr>
                <w:lang w:eastAsia="es-MX"/>
              </w:rPr>
            </w:pPr>
            <w:r w:rsidRPr="008351D4">
              <w:rPr>
                <w:lang w:eastAsia="es-MX"/>
              </w:rPr>
              <w:t>13.0%</w:t>
            </w:r>
          </w:p>
        </w:tc>
      </w:tr>
      <w:tr w:rsidR="00F87170" w:rsidRPr="008351D4" w:rsidTr="001D6B13">
        <w:trPr>
          <w:trHeight w:val="60"/>
          <w:jc w:val="center"/>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F87170" w:rsidRPr="008351D4" w:rsidRDefault="00F87170" w:rsidP="001D6B13">
            <w:pPr>
              <w:ind w:firstLine="0"/>
              <w:jc w:val="left"/>
              <w:rPr>
                <w:lang w:eastAsia="es-MX"/>
              </w:rPr>
            </w:pPr>
            <w:r w:rsidRPr="008351D4">
              <w:rPr>
                <w:lang w:eastAsia="es-MX"/>
              </w:rPr>
              <w:t>E5: Empresarial pujante</w:t>
            </w:r>
          </w:p>
        </w:tc>
        <w:tc>
          <w:tcPr>
            <w:tcW w:w="1504" w:type="dxa"/>
            <w:tcBorders>
              <w:top w:val="nil"/>
              <w:left w:val="nil"/>
              <w:bottom w:val="single" w:sz="4" w:space="0" w:color="auto"/>
              <w:right w:val="single" w:sz="4" w:space="0" w:color="auto"/>
            </w:tcBorders>
            <w:shd w:val="clear" w:color="000000" w:fill="FFFFFF"/>
            <w:vAlign w:val="center"/>
            <w:hideMark/>
          </w:tcPr>
          <w:p w:rsidR="00F87170" w:rsidRPr="008351D4" w:rsidRDefault="00F87170" w:rsidP="001D6B13">
            <w:pPr>
              <w:ind w:right="244" w:firstLine="0"/>
              <w:jc w:val="right"/>
              <w:rPr>
                <w:lang w:eastAsia="es-MX"/>
              </w:rPr>
            </w:pPr>
            <w:r w:rsidRPr="008351D4">
              <w:rPr>
                <w:lang w:eastAsia="es-MX"/>
              </w:rPr>
              <w:t xml:space="preserve">448,101 </w:t>
            </w:r>
          </w:p>
        </w:tc>
        <w:tc>
          <w:tcPr>
            <w:tcW w:w="1276" w:type="dxa"/>
            <w:tcBorders>
              <w:top w:val="nil"/>
              <w:left w:val="nil"/>
              <w:bottom w:val="single" w:sz="4" w:space="0" w:color="auto"/>
              <w:right w:val="single" w:sz="4" w:space="0" w:color="auto"/>
            </w:tcBorders>
            <w:shd w:val="clear" w:color="000000" w:fill="FFFFFF"/>
            <w:vAlign w:val="center"/>
            <w:hideMark/>
          </w:tcPr>
          <w:p w:rsidR="00F87170" w:rsidRPr="008351D4" w:rsidRDefault="00F87170" w:rsidP="001D6B13">
            <w:pPr>
              <w:ind w:right="244" w:firstLine="0"/>
              <w:jc w:val="right"/>
              <w:rPr>
                <w:lang w:eastAsia="es-MX"/>
              </w:rPr>
            </w:pPr>
            <w:r w:rsidRPr="008351D4">
              <w:rPr>
                <w:lang w:eastAsia="es-MX"/>
              </w:rPr>
              <w:t>8.4%</w:t>
            </w:r>
          </w:p>
        </w:tc>
        <w:tc>
          <w:tcPr>
            <w:tcW w:w="1417" w:type="dxa"/>
            <w:tcBorders>
              <w:top w:val="nil"/>
              <w:left w:val="nil"/>
              <w:bottom w:val="single" w:sz="4" w:space="0" w:color="auto"/>
              <w:right w:val="single" w:sz="4" w:space="0" w:color="auto"/>
            </w:tcBorders>
            <w:shd w:val="clear" w:color="000000" w:fill="FFFFFF"/>
            <w:vAlign w:val="center"/>
            <w:hideMark/>
          </w:tcPr>
          <w:p w:rsidR="00F87170" w:rsidRPr="008351D4" w:rsidRDefault="00F87170" w:rsidP="001D6B13">
            <w:pPr>
              <w:ind w:right="244" w:firstLine="0"/>
              <w:jc w:val="right"/>
              <w:rPr>
                <w:lang w:eastAsia="es-MX"/>
              </w:rPr>
            </w:pPr>
            <w:r w:rsidRPr="008351D4">
              <w:rPr>
                <w:lang w:eastAsia="es-MX"/>
              </w:rPr>
              <w:t>562,433</w:t>
            </w:r>
          </w:p>
        </w:tc>
        <w:tc>
          <w:tcPr>
            <w:tcW w:w="1418" w:type="dxa"/>
            <w:tcBorders>
              <w:top w:val="nil"/>
              <w:left w:val="nil"/>
              <w:bottom w:val="single" w:sz="4" w:space="0" w:color="auto"/>
              <w:right w:val="single" w:sz="4" w:space="0" w:color="auto"/>
            </w:tcBorders>
            <w:shd w:val="clear" w:color="000000" w:fill="FFFFFF"/>
            <w:noWrap/>
            <w:vAlign w:val="center"/>
            <w:hideMark/>
          </w:tcPr>
          <w:p w:rsidR="00F87170" w:rsidRPr="008351D4" w:rsidRDefault="00F87170" w:rsidP="001D6B13">
            <w:pPr>
              <w:ind w:right="244" w:firstLine="0"/>
              <w:jc w:val="right"/>
              <w:rPr>
                <w:lang w:eastAsia="es-MX"/>
              </w:rPr>
            </w:pPr>
            <w:r w:rsidRPr="008351D4">
              <w:rPr>
                <w:lang w:eastAsia="es-MX"/>
              </w:rPr>
              <w:t>252,027</w:t>
            </w:r>
          </w:p>
        </w:tc>
        <w:tc>
          <w:tcPr>
            <w:tcW w:w="1134" w:type="dxa"/>
            <w:tcBorders>
              <w:top w:val="nil"/>
              <w:left w:val="nil"/>
              <w:bottom w:val="single" w:sz="4" w:space="0" w:color="auto"/>
              <w:right w:val="single" w:sz="4" w:space="0" w:color="auto"/>
            </w:tcBorders>
            <w:shd w:val="clear" w:color="000000" w:fill="FFFFFF"/>
            <w:vAlign w:val="center"/>
            <w:hideMark/>
          </w:tcPr>
          <w:p w:rsidR="00F87170" w:rsidRPr="008351D4" w:rsidRDefault="00F87170" w:rsidP="0056527C">
            <w:pPr>
              <w:ind w:right="174" w:firstLine="0"/>
              <w:jc w:val="right"/>
              <w:rPr>
                <w:lang w:eastAsia="es-MX"/>
              </w:rPr>
            </w:pPr>
            <w:r w:rsidRPr="008351D4">
              <w:rPr>
                <w:lang w:eastAsia="es-MX"/>
              </w:rPr>
              <w:t>40.8%</w:t>
            </w:r>
          </w:p>
        </w:tc>
      </w:tr>
      <w:tr w:rsidR="00F87170" w:rsidRPr="008351D4" w:rsidTr="001D6B13">
        <w:trPr>
          <w:trHeight w:val="60"/>
          <w:jc w:val="center"/>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F87170" w:rsidRPr="008351D4" w:rsidRDefault="00F87170" w:rsidP="001D6B13">
            <w:pPr>
              <w:ind w:firstLine="0"/>
              <w:jc w:val="left"/>
              <w:rPr>
                <w:lang w:eastAsia="es-MX"/>
              </w:rPr>
            </w:pPr>
            <w:r w:rsidRPr="008351D4">
              <w:rPr>
                <w:lang w:eastAsia="es-MX"/>
              </w:rPr>
              <w:t>E6: Empresarial dinámico</w:t>
            </w:r>
          </w:p>
        </w:tc>
        <w:tc>
          <w:tcPr>
            <w:tcW w:w="1504" w:type="dxa"/>
            <w:tcBorders>
              <w:top w:val="nil"/>
              <w:left w:val="nil"/>
              <w:bottom w:val="single" w:sz="4" w:space="0" w:color="auto"/>
              <w:right w:val="single" w:sz="4" w:space="0" w:color="auto"/>
            </w:tcBorders>
            <w:shd w:val="clear" w:color="000000" w:fill="FFFFFF"/>
            <w:vAlign w:val="center"/>
            <w:hideMark/>
          </w:tcPr>
          <w:p w:rsidR="00F87170" w:rsidRPr="008351D4" w:rsidRDefault="00F87170" w:rsidP="001D6B13">
            <w:pPr>
              <w:ind w:right="244" w:firstLine="0"/>
              <w:jc w:val="right"/>
              <w:rPr>
                <w:lang w:eastAsia="es-MX"/>
              </w:rPr>
            </w:pPr>
            <w:r w:rsidRPr="008351D4">
              <w:rPr>
                <w:lang w:eastAsia="es-MX"/>
              </w:rPr>
              <w:t xml:space="preserve">17,633 </w:t>
            </w:r>
          </w:p>
        </w:tc>
        <w:tc>
          <w:tcPr>
            <w:tcW w:w="1276" w:type="dxa"/>
            <w:tcBorders>
              <w:top w:val="nil"/>
              <w:left w:val="nil"/>
              <w:bottom w:val="single" w:sz="4" w:space="0" w:color="auto"/>
              <w:right w:val="single" w:sz="4" w:space="0" w:color="auto"/>
            </w:tcBorders>
            <w:shd w:val="clear" w:color="000000" w:fill="FFFFFF"/>
            <w:vAlign w:val="center"/>
            <w:hideMark/>
          </w:tcPr>
          <w:p w:rsidR="00F87170" w:rsidRPr="008351D4" w:rsidRDefault="00F87170" w:rsidP="001D6B13">
            <w:pPr>
              <w:ind w:right="244" w:firstLine="0"/>
              <w:jc w:val="right"/>
              <w:rPr>
                <w:lang w:eastAsia="es-MX"/>
              </w:rPr>
            </w:pPr>
            <w:r w:rsidRPr="008351D4">
              <w:rPr>
                <w:lang w:eastAsia="es-MX"/>
              </w:rPr>
              <w:t>0.3%</w:t>
            </w:r>
          </w:p>
        </w:tc>
        <w:tc>
          <w:tcPr>
            <w:tcW w:w="1417" w:type="dxa"/>
            <w:tcBorders>
              <w:top w:val="nil"/>
              <w:left w:val="nil"/>
              <w:bottom w:val="single" w:sz="4" w:space="0" w:color="auto"/>
              <w:right w:val="single" w:sz="4" w:space="0" w:color="auto"/>
            </w:tcBorders>
            <w:shd w:val="clear" w:color="000000" w:fill="FFFFFF"/>
            <w:vAlign w:val="center"/>
            <w:hideMark/>
          </w:tcPr>
          <w:p w:rsidR="00F87170" w:rsidRPr="008351D4" w:rsidRDefault="00F87170" w:rsidP="001D6B13">
            <w:pPr>
              <w:ind w:right="244" w:firstLine="0"/>
              <w:jc w:val="right"/>
              <w:rPr>
                <w:lang w:eastAsia="es-MX"/>
              </w:rPr>
            </w:pPr>
            <w:r w:rsidRPr="008351D4">
              <w:rPr>
                <w:lang w:eastAsia="es-MX"/>
              </w:rPr>
              <w:t>11,700,000</w:t>
            </w:r>
          </w:p>
        </w:tc>
        <w:tc>
          <w:tcPr>
            <w:tcW w:w="1418" w:type="dxa"/>
            <w:tcBorders>
              <w:top w:val="nil"/>
              <w:left w:val="nil"/>
              <w:bottom w:val="single" w:sz="4" w:space="0" w:color="auto"/>
              <w:right w:val="single" w:sz="4" w:space="0" w:color="auto"/>
            </w:tcBorders>
            <w:shd w:val="clear" w:color="000000" w:fill="FFFFFF"/>
            <w:noWrap/>
            <w:vAlign w:val="center"/>
            <w:hideMark/>
          </w:tcPr>
          <w:p w:rsidR="00F87170" w:rsidRPr="008351D4" w:rsidRDefault="00F87170" w:rsidP="001D6B13">
            <w:pPr>
              <w:ind w:right="244" w:firstLine="0"/>
              <w:jc w:val="right"/>
              <w:rPr>
                <w:lang w:eastAsia="es-MX"/>
              </w:rPr>
            </w:pPr>
            <w:r w:rsidRPr="008351D4">
              <w:rPr>
                <w:lang w:eastAsia="es-MX"/>
              </w:rPr>
              <w:t>206,306</w:t>
            </w:r>
          </w:p>
        </w:tc>
        <w:tc>
          <w:tcPr>
            <w:tcW w:w="1134" w:type="dxa"/>
            <w:tcBorders>
              <w:top w:val="nil"/>
              <w:left w:val="nil"/>
              <w:bottom w:val="single" w:sz="4" w:space="0" w:color="auto"/>
              <w:right w:val="single" w:sz="4" w:space="0" w:color="auto"/>
            </w:tcBorders>
            <w:shd w:val="clear" w:color="000000" w:fill="FFFFFF"/>
            <w:vAlign w:val="center"/>
            <w:hideMark/>
          </w:tcPr>
          <w:p w:rsidR="00F87170" w:rsidRPr="008351D4" w:rsidRDefault="00F87170" w:rsidP="0056527C">
            <w:pPr>
              <w:ind w:right="174" w:firstLine="0"/>
              <w:jc w:val="right"/>
              <w:rPr>
                <w:lang w:eastAsia="es-MX"/>
              </w:rPr>
            </w:pPr>
            <w:r w:rsidRPr="008351D4">
              <w:rPr>
                <w:lang w:eastAsia="es-MX"/>
              </w:rPr>
              <w:t>33.4%</w:t>
            </w:r>
          </w:p>
        </w:tc>
      </w:tr>
      <w:tr w:rsidR="00F87170" w:rsidRPr="008351D4" w:rsidTr="001D6B13">
        <w:trPr>
          <w:trHeight w:val="130"/>
          <w:jc w:val="center"/>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F87170" w:rsidRPr="008351D4" w:rsidRDefault="00F87170" w:rsidP="001D6B13">
            <w:pPr>
              <w:ind w:firstLine="0"/>
              <w:rPr>
                <w:lang w:eastAsia="es-MX"/>
              </w:rPr>
            </w:pPr>
            <w:r w:rsidRPr="008351D4">
              <w:rPr>
                <w:lang w:eastAsia="es-MX"/>
              </w:rPr>
              <w:t>Subtotal E4, E5, E6</w:t>
            </w:r>
          </w:p>
        </w:tc>
        <w:tc>
          <w:tcPr>
            <w:tcW w:w="1504" w:type="dxa"/>
            <w:tcBorders>
              <w:top w:val="nil"/>
              <w:left w:val="nil"/>
              <w:bottom w:val="single" w:sz="4" w:space="0" w:color="auto"/>
              <w:right w:val="single" w:sz="4" w:space="0" w:color="auto"/>
            </w:tcBorders>
            <w:shd w:val="clear" w:color="000000" w:fill="FFFFFF"/>
            <w:vAlign w:val="center"/>
            <w:hideMark/>
          </w:tcPr>
          <w:p w:rsidR="00F87170" w:rsidRPr="008351D4" w:rsidRDefault="00F87170" w:rsidP="001D6B13">
            <w:pPr>
              <w:ind w:right="244" w:firstLine="0"/>
              <w:jc w:val="right"/>
              <w:rPr>
                <w:lang w:eastAsia="es-MX"/>
              </w:rPr>
            </w:pPr>
            <w:r w:rsidRPr="008351D4">
              <w:rPr>
                <w:lang w:eastAsia="es-MX"/>
              </w:rPr>
              <w:t xml:space="preserve">994,089 </w:t>
            </w:r>
          </w:p>
        </w:tc>
        <w:tc>
          <w:tcPr>
            <w:tcW w:w="1276" w:type="dxa"/>
            <w:tcBorders>
              <w:top w:val="nil"/>
              <w:left w:val="nil"/>
              <w:bottom w:val="single" w:sz="4" w:space="0" w:color="auto"/>
              <w:right w:val="single" w:sz="4" w:space="0" w:color="auto"/>
            </w:tcBorders>
            <w:shd w:val="clear" w:color="000000" w:fill="FFFFFF"/>
            <w:vAlign w:val="center"/>
            <w:hideMark/>
          </w:tcPr>
          <w:p w:rsidR="00F87170" w:rsidRPr="008351D4" w:rsidRDefault="00F87170" w:rsidP="001D6B13">
            <w:pPr>
              <w:ind w:right="244" w:firstLine="0"/>
              <w:jc w:val="right"/>
              <w:rPr>
                <w:lang w:eastAsia="es-MX"/>
              </w:rPr>
            </w:pPr>
            <w:r w:rsidRPr="008351D4">
              <w:rPr>
                <w:lang w:eastAsia="es-MX"/>
              </w:rPr>
              <w:t>18.7%</w:t>
            </w:r>
          </w:p>
        </w:tc>
        <w:tc>
          <w:tcPr>
            <w:tcW w:w="1417" w:type="dxa"/>
            <w:tcBorders>
              <w:top w:val="nil"/>
              <w:left w:val="nil"/>
              <w:bottom w:val="single" w:sz="4" w:space="0" w:color="auto"/>
              <w:right w:val="single" w:sz="4" w:space="0" w:color="auto"/>
            </w:tcBorders>
            <w:shd w:val="clear" w:color="000000" w:fill="FFFFFF"/>
            <w:vAlign w:val="center"/>
            <w:hideMark/>
          </w:tcPr>
          <w:p w:rsidR="00F87170" w:rsidRPr="008351D4" w:rsidRDefault="00F87170" w:rsidP="001D6B13">
            <w:pPr>
              <w:ind w:right="244" w:firstLine="0"/>
              <w:jc w:val="right"/>
              <w:rPr>
                <w:lang w:eastAsia="es-MX"/>
              </w:rPr>
            </w:pPr>
            <w:r w:rsidRPr="008351D4">
              <w:rPr>
                <w:lang w:eastAsia="es-MX"/>
              </w:rPr>
              <w:t>541,823</w:t>
            </w:r>
          </w:p>
        </w:tc>
        <w:tc>
          <w:tcPr>
            <w:tcW w:w="1418" w:type="dxa"/>
            <w:tcBorders>
              <w:top w:val="nil"/>
              <w:left w:val="nil"/>
              <w:bottom w:val="single" w:sz="4" w:space="0" w:color="auto"/>
              <w:right w:val="single" w:sz="4" w:space="0" w:color="auto"/>
            </w:tcBorders>
            <w:shd w:val="clear" w:color="000000" w:fill="FFFFFF"/>
            <w:vAlign w:val="center"/>
            <w:hideMark/>
          </w:tcPr>
          <w:p w:rsidR="00F87170" w:rsidRPr="008351D4" w:rsidRDefault="00F87170" w:rsidP="001D6B13">
            <w:pPr>
              <w:ind w:right="244" w:firstLine="0"/>
              <w:jc w:val="right"/>
              <w:rPr>
                <w:lang w:eastAsia="es-MX"/>
              </w:rPr>
            </w:pPr>
            <w:r w:rsidRPr="008351D4">
              <w:rPr>
                <w:lang w:eastAsia="es-MX"/>
              </w:rPr>
              <w:t>538,621</w:t>
            </w:r>
          </w:p>
        </w:tc>
        <w:tc>
          <w:tcPr>
            <w:tcW w:w="1134" w:type="dxa"/>
            <w:tcBorders>
              <w:top w:val="nil"/>
              <w:left w:val="nil"/>
              <w:bottom w:val="single" w:sz="4" w:space="0" w:color="auto"/>
              <w:right w:val="single" w:sz="4" w:space="0" w:color="auto"/>
            </w:tcBorders>
            <w:shd w:val="clear" w:color="000000" w:fill="FFFFFF"/>
            <w:vAlign w:val="center"/>
            <w:hideMark/>
          </w:tcPr>
          <w:p w:rsidR="00F87170" w:rsidRPr="008351D4" w:rsidRDefault="00F87170" w:rsidP="0056527C">
            <w:pPr>
              <w:ind w:right="174" w:firstLine="0"/>
              <w:jc w:val="right"/>
              <w:rPr>
                <w:lang w:eastAsia="es-MX"/>
              </w:rPr>
            </w:pPr>
            <w:r w:rsidRPr="008351D4">
              <w:rPr>
                <w:lang w:eastAsia="es-MX"/>
              </w:rPr>
              <w:t>87.2%</w:t>
            </w:r>
          </w:p>
        </w:tc>
      </w:tr>
      <w:tr w:rsidR="00F87170" w:rsidRPr="0056527C" w:rsidTr="001D6B13">
        <w:trPr>
          <w:trHeight w:val="60"/>
          <w:jc w:val="center"/>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F87170" w:rsidRPr="0056527C" w:rsidRDefault="00F87170" w:rsidP="00C21A75">
            <w:pPr>
              <w:rPr>
                <w:b/>
                <w:lang w:eastAsia="es-MX"/>
              </w:rPr>
            </w:pPr>
            <w:r w:rsidRPr="0056527C">
              <w:rPr>
                <w:b/>
                <w:lang w:eastAsia="es-MX"/>
              </w:rPr>
              <w:t>Total</w:t>
            </w:r>
          </w:p>
        </w:tc>
        <w:tc>
          <w:tcPr>
            <w:tcW w:w="1504" w:type="dxa"/>
            <w:tcBorders>
              <w:top w:val="nil"/>
              <w:left w:val="nil"/>
              <w:bottom w:val="single" w:sz="4" w:space="0" w:color="auto"/>
              <w:right w:val="single" w:sz="4" w:space="0" w:color="auto"/>
            </w:tcBorders>
            <w:shd w:val="clear" w:color="000000" w:fill="FFFFFF"/>
            <w:vAlign w:val="center"/>
            <w:hideMark/>
          </w:tcPr>
          <w:p w:rsidR="00F87170" w:rsidRPr="0056527C" w:rsidRDefault="00F87170" w:rsidP="001D6B13">
            <w:pPr>
              <w:ind w:right="244" w:firstLine="0"/>
              <w:jc w:val="right"/>
              <w:rPr>
                <w:b/>
                <w:lang w:eastAsia="es-MX"/>
              </w:rPr>
            </w:pPr>
            <w:r w:rsidRPr="0056527C">
              <w:rPr>
                <w:b/>
                <w:lang w:eastAsia="es-MX"/>
              </w:rPr>
              <w:t xml:space="preserve">5,325,223 </w:t>
            </w:r>
          </w:p>
        </w:tc>
        <w:tc>
          <w:tcPr>
            <w:tcW w:w="1276" w:type="dxa"/>
            <w:tcBorders>
              <w:top w:val="nil"/>
              <w:left w:val="nil"/>
              <w:bottom w:val="single" w:sz="4" w:space="0" w:color="auto"/>
              <w:right w:val="single" w:sz="4" w:space="0" w:color="auto"/>
            </w:tcBorders>
            <w:shd w:val="clear" w:color="000000" w:fill="FFFFFF"/>
            <w:vAlign w:val="center"/>
            <w:hideMark/>
          </w:tcPr>
          <w:p w:rsidR="00F87170" w:rsidRPr="0056527C" w:rsidRDefault="00F87170" w:rsidP="001D6B13">
            <w:pPr>
              <w:ind w:right="244" w:firstLine="0"/>
              <w:jc w:val="right"/>
              <w:rPr>
                <w:b/>
                <w:lang w:eastAsia="es-MX"/>
              </w:rPr>
            </w:pPr>
            <w:r w:rsidRPr="0056527C">
              <w:rPr>
                <w:b/>
                <w:lang w:eastAsia="es-MX"/>
              </w:rPr>
              <w:t>100.0%</w:t>
            </w:r>
          </w:p>
        </w:tc>
        <w:tc>
          <w:tcPr>
            <w:tcW w:w="1417" w:type="dxa"/>
            <w:tcBorders>
              <w:top w:val="nil"/>
              <w:left w:val="nil"/>
              <w:bottom w:val="single" w:sz="4" w:space="0" w:color="auto"/>
              <w:right w:val="single" w:sz="4" w:space="0" w:color="auto"/>
            </w:tcBorders>
            <w:shd w:val="clear" w:color="000000" w:fill="FFFFFF"/>
            <w:vAlign w:val="center"/>
            <w:hideMark/>
          </w:tcPr>
          <w:p w:rsidR="00F87170" w:rsidRPr="0056527C" w:rsidRDefault="00F87170" w:rsidP="001D6B13">
            <w:pPr>
              <w:ind w:right="244" w:firstLine="0"/>
              <w:jc w:val="right"/>
              <w:rPr>
                <w:b/>
                <w:lang w:eastAsia="es-MX"/>
              </w:rPr>
            </w:pPr>
            <w:r w:rsidRPr="0056527C">
              <w:rPr>
                <w:b/>
                <w:lang w:eastAsia="es-MX"/>
              </w:rPr>
              <w:t>115,999</w:t>
            </w:r>
          </w:p>
        </w:tc>
        <w:tc>
          <w:tcPr>
            <w:tcW w:w="1418" w:type="dxa"/>
            <w:tcBorders>
              <w:top w:val="nil"/>
              <w:left w:val="nil"/>
              <w:bottom w:val="single" w:sz="4" w:space="0" w:color="auto"/>
              <w:right w:val="single" w:sz="4" w:space="0" w:color="auto"/>
            </w:tcBorders>
            <w:shd w:val="clear" w:color="000000" w:fill="FFFFFF"/>
            <w:vAlign w:val="center"/>
            <w:hideMark/>
          </w:tcPr>
          <w:p w:rsidR="00F87170" w:rsidRPr="0056527C" w:rsidRDefault="00F87170" w:rsidP="001D6B13">
            <w:pPr>
              <w:ind w:right="244" w:firstLine="0"/>
              <w:jc w:val="right"/>
              <w:rPr>
                <w:b/>
                <w:lang w:eastAsia="es-MX"/>
              </w:rPr>
            </w:pPr>
            <w:r w:rsidRPr="0056527C">
              <w:rPr>
                <w:b/>
                <w:lang w:eastAsia="es-MX"/>
              </w:rPr>
              <w:t>617,723</w:t>
            </w:r>
          </w:p>
        </w:tc>
        <w:tc>
          <w:tcPr>
            <w:tcW w:w="1134" w:type="dxa"/>
            <w:tcBorders>
              <w:top w:val="nil"/>
              <w:left w:val="nil"/>
              <w:bottom w:val="single" w:sz="4" w:space="0" w:color="auto"/>
              <w:right w:val="single" w:sz="4" w:space="0" w:color="auto"/>
            </w:tcBorders>
            <w:shd w:val="clear" w:color="000000" w:fill="FFFFFF"/>
            <w:vAlign w:val="center"/>
            <w:hideMark/>
          </w:tcPr>
          <w:p w:rsidR="00F87170" w:rsidRPr="0056527C" w:rsidRDefault="00F87170" w:rsidP="0056527C">
            <w:pPr>
              <w:ind w:right="174" w:firstLine="0"/>
              <w:jc w:val="right"/>
              <w:rPr>
                <w:b/>
                <w:lang w:eastAsia="es-MX"/>
              </w:rPr>
            </w:pPr>
            <w:r w:rsidRPr="0056527C">
              <w:rPr>
                <w:b/>
                <w:lang w:eastAsia="es-MX"/>
              </w:rPr>
              <w:t>100.0%</w:t>
            </w:r>
          </w:p>
        </w:tc>
      </w:tr>
    </w:tbl>
    <w:p w:rsidR="00F87170" w:rsidRPr="0056527C" w:rsidRDefault="00F87170" w:rsidP="00F42934">
      <w:pPr>
        <w:pStyle w:val="Fuentesyreferencias"/>
      </w:pPr>
      <w:r w:rsidRPr="0056527C">
        <w:t>Fuente: Diagnóstico del sector rural y pesquero en México, FAO-SAGARPA, 2012.</w:t>
      </w:r>
    </w:p>
    <w:p w:rsidR="005F58E9" w:rsidRDefault="005F58E9" w:rsidP="00C21A75"/>
    <w:p w:rsidR="009E4835" w:rsidRPr="00C21A75" w:rsidRDefault="009E4835" w:rsidP="00C21A75">
      <w:pPr>
        <w:numPr>
          <w:ilvl w:val="0"/>
          <w:numId w:val="33"/>
        </w:numPr>
      </w:pPr>
      <w:r w:rsidRPr="00C21A75">
        <w:t xml:space="preserve">El minifundio y la baja </w:t>
      </w:r>
      <w:r w:rsidR="00461BFD" w:rsidRPr="00C21A75">
        <w:t xml:space="preserve">escala productiva. </w:t>
      </w:r>
      <w:r w:rsidR="005F58E9">
        <w:t>Más del 7</w:t>
      </w:r>
      <w:r w:rsidR="00461BFD" w:rsidRPr="00C21A75">
        <w:t xml:space="preserve">0% </w:t>
      </w:r>
      <w:r w:rsidRPr="00C21A75">
        <w:t>de los productores poseen predios menores a cinco hec</w:t>
      </w:r>
      <w:r w:rsidR="007765C1" w:rsidRPr="00C21A75">
        <w:t>táreas. Esto provoca una baja productividad</w:t>
      </w:r>
      <w:r w:rsidRPr="00C21A75">
        <w:t xml:space="preserve"> y por ende presentan problemas de rentabilidad y de acceso al financiamiento.</w:t>
      </w:r>
    </w:p>
    <w:p w:rsidR="005F58E9" w:rsidRDefault="005F58E9" w:rsidP="006552DF">
      <w:pPr>
        <w:ind w:firstLine="0"/>
      </w:pPr>
    </w:p>
    <w:p w:rsidR="0090281D" w:rsidRPr="009937AA" w:rsidRDefault="0094241E" w:rsidP="00C21A75">
      <w:pPr>
        <w:pStyle w:val="Cuadros"/>
      </w:pPr>
      <w:r>
        <w:t>Tabla 3</w:t>
      </w:r>
      <w:r w:rsidRPr="00B47F47">
        <w:t xml:space="preserve">. </w:t>
      </w:r>
      <w:r w:rsidR="0090281D" w:rsidRPr="009937AA">
        <w:t>Unidades de Producción Agropecuaria por Extensión Territorial</w:t>
      </w:r>
      <w:r w:rsidR="0090281D">
        <w:t>.</w:t>
      </w:r>
    </w:p>
    <w:tbl>
      <w:tblPr>
        <w:tblW w:w="0" w:type="auto"/>
        <w:jc w:val="center"/>
        <w:tblLook w:val="04A0" w:firstRow="1" w:lastRow="0" w:firstColumn="1" w:lastColumn="0" w:noHBand="0" w:noVBand="1"/>
      </w:tblPr>
      <w:tblGrid>
        <w:gridCol w:w="2671"/>
        <w:gridCol w:w="1780"/>
        <w:gridCol w:w="2225"/>
      </w:tblGrid>
      <w:tr w:rsidR="0056527C" w:rsidRPr="008075BA" w:rsidTr="00921557">
        <w:trPr>
          <w:trHeight w:val="539"/>
          <w:jc w:val="center"/>
        </w:trPr>
        <w:tc>
          <w:tcPr>
            <w:tcW w:w="2671" w:type="dxa"/>
            <w:tcBorders>
              <w:top w:val="single" w:sz="4" w:space="0" w:color="auto"/>
              <w:left w:val="single" w:sz="4" w:space="0" w:color="auto"/>
              <w:bottom w:val="single" w:sz="4" w:space="0" w:color="auto"/>
              <w:right w:val="single" w:sz="4" w:space="0" w:color="auto"/>
            </w:tcBorders>
            <w:shd w:val="clear" w:color="auto" w:fill="4F6228"/>
            <w:vAlign w:val="center"/>
          </w:tcPr>
          <w:p w:rsidR="0056527C" w:rsidRPr="00172FFC" w:rsidRDefault="0056527C" w:rsidP="0056527C">
            <w:pPr>
              <w:pStyle w:val="NormalWeb"/>
              <w:ind w:firstLine="0"/>
              <w:jc w:val="center"/>
              <w:rPr>
                <w:rFonts w:ascii="Arial" w:hAnsi="Arial"/>
                <w:sz w:val="18"/>
              </w:rPr>
            </w:pPr>
            <w:r w:rsidRPr="00172FFC">
              <w:rPr>
                <w:rFonts w:ascii="Arial" w:hAnsi="Arial"/>
                <w:sz w:val="18"/>
              </w:rPr>
              <w:t>Extensión territorial</w:t>
            </w:r>
          </w:p>
        </w:tc>
        <w:tc>
          <w:tcPr>
            <w:tcW w:w="1780" w:type="dxa"/>
            <w:tcBorders>
              <w:top w:val="single" w:sz="4" w:space="0" w:color="auto"/>
              <w:left w:val="single" w:sz="4" w:space="0" w:color="auto"/>
              <w:bottom w:val="single" w:sz="4" w:space="0" w:color="auto"/>
              <w:right w:val="single" w:sz="4" w:space="0" w:color="auto"/>
            </w:tcBorders>
            <w:shd w:val="clear" w:color="auto" w:fill="4F6228"/>
            <w:vAlign w:val="center"/>
          </w:tcPr>
          <w:p w:rsidR="0056527C" w:rsidRPr="00172FFC" w:rsidRDefault="0056527C" w:rsidP="0056527C">
            <w:pPr>
              <w:pStyle w:val="NormalWeb"/>
              <w:ind w:left="34" w:firstLine="0"/>
              <w:jc w:val="center"/>
              <w:rPr>
                <w:rFonts w:ascii="Arial" w:hAnsi="Arial"/>
                <w:sz w:val="18"/>
              </w:rPr>
            </w:pPr>
            <w:r w:rsidRPr="00172FFC">
              <w:rPr>
                <w:rFonts w:ascii="Arial" w:hAnsi="Arial"/>
                <w:sz w:val="18"/>
              </w:rPr>
              <w:t>Millones de unidades</w:t>
            </w:r>
          </w:p>
        </w:tc>
        <w:tc>
          <w:tcPr>
            <w:tcW w:w="2225" w:type="dxa"/>
            <w:tcBorders>
              <w:top w:val="single" w:sz="4" w:space="0" w:color="auto"/>
              <w:left w:val="single" w:sz="4" w:space="0" w:color="auto"/>
              <w:bottom w:val="single" w:sz="4" w:space="0" w:color="auto"/>
              <w:right w:val="single" w:sz="4" w:space="0" w:color="auto"/>
            </w:tcBorders>
            <w:shd w:val="clear" w:color="auto" w:fill="4F6228"/>
            <w:vAlign w:val="center"/>
          </w:tcPr>
          <w:p w:rsidR="0056527C" w:rsidRPr="00172FFC" w:rsidRDefault="0056527C" w:rsidP="0056527C">
            <w:pPr>
              <w:pStyle w:val="NormalWeb"/>
              <w:ind w:firstLine="0"/>
              <w:jc w:val="center"/>
              <w:rPr>
                <w:rFonts w:ascii="Arial" w:hAnsi="Arial"/>
                <w:sz w:val="18"/>
              </w:rPr>
            </w:pPr>
            <w:r w:rsidRPr="00172FFC">
              <w:rPr>
                <w:rFonts w:ascii="Arial" w:hAnsi="Arial"/>
                <w:sz w:val="18"/>
              </w:rPr>
              <w:t>Participación (% )</w:t>
            </w:r>
          </w:p>
        </w:tc>
      </w:tr>
      <w:tr w:rsidR="0056527C" w:rsidRPr="008075BA" w:rsidTr="00921557">
        <w:trPr>
          <w:trHeight w:val="277"/>
          <w:jc w:val="center"/>
        </w:trPr>
        <w:tc>
          <w:tcPr>
            <w:tcW w:w="2671" w:type="dxa"/>
            <w:tcBorders>
              <w:top w:val="single" w:sz="4" w:space="0" w:color="auto"/>
              <w:left w:val="single" w:sz="4" w:space="0" w:color="auto"/>
              <w:bottom w:val="single" w:sz="4" w:space="0" w:color="auto"/>
              <w:right w:val="single" w:sz="4" w:space="0" w:color="auto"/>
            </w:tcBorders>
          </w:tcPr>
          <w:p w:rsidR="0056527C" w:rsidRPr="00A3132B" w:rsidRDefault="0056527C" w:rsidP="0056527C">
            <w:pPr>
              <w:pStyle w:val="NormalWeb"/>
              <w:ind w:firstLine="0"/>
              <w:jc w:val="left"/>
              <w:rPr>
                <w:rFonts w:ascii="Arial" w:hAnsi="Arial"/>
                <w:sz w:val="18"/>
              </w:rPr>
            </w:pPr>
            <w:r w:rsidRPr="00A3132B">
              <w:rPr>
                <w:rFonts w:ascii="Arial" w:hAnsi="Arial"/>
                <w:sz w:val="18"/>
              </w:rPr>
              <w:t>Hasta 5 has</w:t>
            </w:r>
          </w:p>
        </w:tc>
        <w:tc>
          <w:tcPr>
            <w:tcW w:w="1780" w:type="dxa"/>
            <w:tcBorders>
              <w:top w:val="single" w:sz="4" w:space="0" w:color="auto"/>
              <w:left w:val="single" w:sz="4" w:space="0" w:color="auto"/>
              <w:bottom w:val="single" w:sz="4" w:space="0" w:color="auto"/>
              <w:right w:val="single" w:sz="4" w:space="0" w:color="auto"/>
            </w:tcBorders>
          </w:tcPr>
          <w:p w:rsidR="0056527C" w:rsidRPr="00A3132B" w:rsidRDefault="0056527C" w:rsidP="0056527C">
            <w:pPr>
              <w:pStyle w:val="NormalWeb"/>
              <w:ind w:right="601" w:firstLine="0"/>
              <w:jc w:val="right"/>
              <w:rPr>
                <w:rFonts w:ascii="Arial" w:hAnsi="Arial"/>
                <w:sz w:val="18"/>
              </w:rPr>
            </w:pPr>
            <w:r w:rsidRPr="00A3132B">
              <w:rPr>
                <w:rFonts w:ascii="Arial" w:hAnsi="Arial"/>
                <w:sz w:val="18"/>
              </w:rPr>
              <w:t>2.7</w:t>
            </w:r>
          </w:p>
        </w:tc>
        <w:tc>
          <w:tcPr>
            <w:tcW w:w="2225" w:type="dxa"/>
            <w:tcBorders>
              <w:top w:val="single" w:sz="4" w:space="0" w:color="auto"/>
              <w:left w:val="single" w:sz="4" w:space="0" w:color="auto"/>
              <w:bottom w:val="single" w:sz="4" w:space="0" w:color="auto"/>
              <w:right w:val="single" w:sz="4" w:space="0" w:color="auto"/>
            </w:tcBorders>
          </w:tcPr>
          <w:p w:rsidR="0056527C" w:rsidRPr="00A3132B" w:rsidRDefault="0056527C" w:rsidP="0056527C">
            <w:pPr>
              <w:pStyle w:val="NormalWeb"/>
              <w:ind w:right="601" w:firstLine="0"/>
              <w:jc w:val="right"/>
              <w:rPr>
                <w:rFonts w:ascii="Arial" w:hAnsi="Arial"/>
                <w:sz w:val="18"/>
              </w:rPr>
            </w:pPr>
            <w:r w:rsidRPr="00A3132B">
              <w:rPr>
                <w:rFonts w:ascii="Arial" w:hAnsi="Arial"/>
                <w:sz w:val="18"/>
              </w:rPr>
              <w:t>72.6</w:t>
            </w:r>
          </w:p>
        </w:tc>
      </w:tr>
      <w:tr w:rsidR="0056527C" w:rsidRPr="008075BA" w:rsidTr="00921557">
        <w:trPr>
          <w:trHeight w:val="277"/>
          <w:jc w:val="center"/>
        </w:trPr>
        <w:tc>
          <w:tcPr>
            <w:tcW w:w="2671" w:type="dxa"/>
            <w:tcBorders>
              <w:top w:val="single" w:sz="4" w:space="0" w:color="auto"/>
              <w:left w:val="single" w:sz="4" w:space="0" w:color="auto"/>
              <w:bottom w:val="single" w:sz="4" w:space="0" w:color="auto"/>
              <w:right w:val="single" w:sz="4" w:space="0" w:color="auto"/>
            </w:tcBorders>
          </w:tcPr>
          <w:p w:rsidR="0056527C" w:rsidRPr="00A3132B" w:rsidRDefault="0056527C" w:rsidP="0056527C">
            <w:pPr>
              <w:pStyle w:val="NormalWeb"/>
              <w:ind w:firstLine="0"/>
              <w:jc w:val="left"/>
              <w:rPr>
                <w:rFonts w:ascii="Arial" w:hAnsi="Arial"/>
                <w:sz w:val="18"/>
              </w:rPr>
            </w:pPr>
            <w:r w:rsidRPr="00A3132B">
              <w:rPr>
                <w:rFonts w:ascii="Arial" w:hAnsi="Arial"/>
                <w:sz w:val="18"/>
              </w:rPr>
              <w:t>Más de 5 y hasta 20 has</w:t>
            </w:r>
          </w:p>
        </w:tc>
        <w:tc>
          <w:tcPr>
            <w:tcW w:w="1780" w:type="dxa"/>
            <w:tcBorders>
              <w:top w:val="single" w:sz="4" w:space="0" w:color="auto"/>
              <w:left w:val="single" w:sz="4" w:space="0" w:color="auto"/>
              <w:bottom w:val="single" w:sz="4" w:space="0" w:color="auto"/>
              <w:right w:val="single" w:sz="4" w:space="0" w:color="auto"/>
            </w:tcBorders>
          </w:tcPr>
          <w:p w:rsidR="0056527C" w:rsidRPr="00A3132B" w:rsidRDefault="0056527C" w:rsidP="0056527C">
            <w:pPr>
              <w:pStyle w:val="NormalWeb"/>
              <w:ind w:right="601" w:firstLine="0"/>
              <w:jc w:val="right"/>
              <w:rPr>
                <w:rFonts w:ascii="Arial" w:hAnsi="Arial"/>
                <w:sz w:val="18"/>
              </w:rPr>
            </w:pPr>
            <w:r w:rsidRPr="00A3132B">
              <w:rPr>
                <w:rFonts w:ascii="Arial" w:hAnsi="Arial"/>
                <w:sz w:val="18"/>
              </w:rPr>
              <w:t>0.8</w:t>
            </w:r>
          </w:p>
        </w:tc>
        <w:tc>
          <w:tcPr>
            <w:tcW w:w="2225" w:type="dxa"/>
            <w:tcBorders>
              <w:top w:val="single" w:sz="4" w:space="0" w:color="auto"/>
              <w:left w:val="single" w:sz="4" w:space="0" w:color="auto"/>
              <w:bottom w:val="single" w:sz="4" w:space="0" w:color="auto"/>
              <w:right w:val="single" w:sz="4" w:space="0" w:color="auto"/>
            </w:tcBorders>
          </w:tcPr>
          <w:p w:rsidR="0056527C" w:rsidRPr="00A3132B" w:rsidRDefault="0056527C" w:rsidP="0056527C">
            <w:pPr>
              <w:pStyle w:val="NormalWeb"/>
              <w:ind w:right="601" w:firstLine="0"/>
              <w:jc w:val="right"/>
              <w:rPr>
                <w:rFonts w:ascii="Arial" w:hAnsi="Arial"/>
                <w:sz w:val="18"/>
              </w:rPr>
            </w:pPr>
            <w:r w:rsidRPr="00A3132B">
              <w:rPr>
                <w:rFonts w:ascii="Arial" w:hAnsi="Arial"/>
                <w:sz w:val="18"/>
              </w:rPr>
              <w:t>21.3</w:t>
            </w:r>
          </w:p>
        </w:tc>
      </w:tr>
      <w:tr w:rsidR="0056527C" w:rsidRPr="008075BA" w:rsidTr="00921557">
        <w:trPr>
          <w:trHeight w:val="262"/>
          <w:jc w:val="center"/>
        </w:trPr>
        <w:tc>
          <w:tcPr>
            <w:tcW w:w="2671" w:type="dxa"/>
            <w:tcBorders>
              <w:top w:val="single" w:sz="4" w:space="0" w:color="auto"/>
              <w:left w:val="single" w:sz="4" w:space="0" w:color="auto"/>
              <w:bottom w:val="single" w:sz="4" w:space="0" w:color="auto"/>
              <w:right w:val="single" w:sz="4" w:space="0" w:color="auto"/>
            </w:tcBorders>
          </w:tcPr>
          <w:p w:rsidR="0056527C" w:rsidRPr="00A3132B" w:rsidRDefault="0056527C" w:rsidP="0056527C">
            <w:pPr>
              <w:pStyle w:val="NormalWeb"/>
              <w:ind w:firstLine="0"/>
              <w:jc w:val="left"/>
              <w:rPr>
                <w:rFonts w:ascii="Arial" w:hAnsi="Arial"/>
                <w:sz w:val="18"/>
              </w:rPr>
            </w:pPr>
            <w:r w:rsidRPr="00A3132B">
              <w:rPr>
                <w:rFonts w:ascii="Arial" w:hAnsi="Arial"/>
                <w:sz w:val="18"/>
              </w:rPr>
              <w:t>Más de 20 has</w:t>
            </w:r>
          </w:p>
        </w:tc>
        <w:tc>
          <w:tcPr>
            <w:tcW w:w="1780" w:type="dxa"/>
            <w:tcBorders>
              <w:top w:val="single" w:sz="4" w:space="0" w:color="auto"/>
              <w:left w:val="single" w:sz="4" w:space="0" w:color="auto"/>
              <w:bottom w:val="single" w:sz="4" w:space="0" w:color="auto"/>
              <w:right w:val="single" w:sz="4" w:space="0" w:color="auto"/>
            </w:tcBorders>
          </w:tcPr>
          <w:p w:rsidR="0056527C" w:rsidRPr="00A3132B" w:rsidRDefault="0056527C" w:rsidP="0056527C">
            <w:pPr>
              <w:pStyle w:val="NormalWeb"/>
              <w:ind w:right="601" w:firstLine="0"/>
              <w:jc w:val="right"/>
              <w:rPr>
                <w:rFonts w:ascii="Arial" w:hAnsi="Arial"/>
                <w:sz w:val="18"/>
              </w:rPr>
            </w:pPr>
            <w:r w:rsidRPr="00A3132B">
              <w:rPr>
                <w:rFonts w:ascii="Arial" w:hAnsi="Arial"/>
                <w:sz w:val="18"/>
              </w:rPr>
              <w:t>0.2</w:t>
            </w:r>
          </w:p>
        </w:tc>
        <w:tc>
          <w:tcPr>
            <w:tcW w:w="2225" w:type="dxa"/>
            <w:tcBorders>
              <w:top w:val="single" w:sz="4" w:space="0" w:color="auto"/>
              <w:left w:val="single" w:sz="4" w:space="0" w:color="auto"/>
              <w:bottom w:val="single" w:sz="4" w:space="0" w:color="auto"/>
              <w:right w:val="single" w:sz="4" w:space="0" w:color="auto"/>
            </w:tcBorders>
          </w:tcPr>
          <w:p w:rsidR="0056527C" w:rsidRPr="00A3132B" w:rsidRDefault="0056527C" w:rsidP="0056527C">
            <w:pPr>
              <w:pStyle w:val="NormalWeb"/>
              <w:ind w:right="601" w:firstLine="0"/>
              <w:jc w:val="right"/>
              <w:rPr>
                <w:rFonts w:ascii="Arial" w:hAnsi="Arial"/>
                <w:sz w:val="18"/>
              </w:rPr>
            </w:pPr>
            <w:r w:rsidRPr="00A3132B">
              <w:rPr>
                <w:rFonts w:ascii="Arial" w:hAnsi="Arial"/>
                <w:sz w:val="18"/>
              </w:rPr>
              <w:t>6.1</w:t>
            </w:r>
          </w:p>
        </w:tc>
      </w:tr>
      <w:tr w:rsidR="0056527C" w:rsidRPr="008075BA" w:rsidTr="00921557">
        <w:trPr>
          <w:trHeight w:val="294"/>
          <w:jc w:val="center"/>
        </w:trPr>
        <w:tc>
          <w:tcPr>
            <w:tcW w:w="2671" w:type="dxa"/>
            <w:tcBorders>
              <w:top w:val="single" w:sz="4" w:space="0" w:color="auto"/>
              <w:left w:val="single" w:sz="4" w:space="0" w:color="auto"/>
              <w:bottom w:val="single" w:sz="4" w:space="0" w:color="auto"/>
              <w:right w:val="single" w:sz="4" w:space="0" w:color="auto"/>
            </w:tcBorders>
          </w:tcPr>
          <w:p w:rsidR="0056527C" w:rsidRPr="00A3132B" w:rsidRDefault="0056527C" w:rsidP="0056527C">
            <w:pPr>
              <w:pStyle w:val="NormalWeb"/>
              <w:ind w:firstLine="0"/>
              <w:jc w:val="left"/>
              <w:rPr>
                <w:rFonts w:ascii="Arial" w:hAnsi="Arial"/>
                <w:b/>
                <w:sz w:val="18"/>
              </w:rPr>
            </w:pPr>
            <w:r w:rsidRPr="00A3132B">
              <w:rPr>
                <w:rFonts w:ascii="Arial" w:hAnsi="Arial"/>
                <w:b/>
                <w:sz w:val="18"/>
              </w:rPr>
              <w:t>Total</w:t>
            </w:r>
          </w:p>
        </w:tc>
        <w:tc>
          <w:tcPr>
            <w:tcW w:w="1780" w:type="dxa"/>
            <w:tcBorders>
              <w:top w:val="single" w:sz="4" w:space="0" w:color="auto"/>
              <w:left w:val="single" w:sz="4" w:space="0" w:color="auto"/>
              <w:bottom w:val="single" w:sz="4" w:space="0" w:color="auto"/>
              <w:right w:val="single" w:sz="4" w:space="0" w:color="auto"/>
            </w:tcBorders>
          </w:tcPr>
          <w:p w:rsidR="0056527C" w:rsidRPr="00A3132B" w:rsidRDefault="0056527C" w:rsidP="0056527C">
            <w:pPr>
              <w:pStyle w:val="NormalWeb"/>
              <w:ind w:right="601" w:firstLine="0"/>
              <w:jc w:val="right"/>
              <w:rPr>
                <w:rFonts w:ascii="Arial" w:hAnsi="Arial"/>
                <w:b/>
                <w:sz w:val="18"/>
              </w:rPr>
            </w:pPr>
            <w:r w:rsidRPr="00A3132B">
              <w:rPr>
                <w:rFonts w:ascii="Arial" w:hAnsi="Arial"/>
                <w:b/>
                <w:sz w:val="18"/>
              </w:rPr>
              <w:t>3.7</w:t>
            </w:r>
          </w:p>
        </w:tc>
        <w:tc>
          <w:tcPr>
            <w:tcW w:w="2225" w:type="dxa"/>
            <w:tcBorders>
              <w:top w:val="single" w:sz="4" w:space="0" w:color="auto"/>
              <w:left w:val="single" w:sz="4" w:space="0" w:color="auto"/>
              <w:bottom w:val="single" w:sz="4" w:space="0" w:color="auto"/>
              <w:right w:val="single" w:sz="4" w:space="0" w:color="auto"/>
            </w:tcBorders>
          </w:tcPr>
          <w:p w:rsidR="0056527C" w:rsidRPr="00A3132B" w:rsidRDefault="0056527C" w:rsidP="0056527C">
            <w:pPr>
              <w:pStyle w:val="NormalWeb"/>
              <w:ind w:right="601" w:firstLine="0"/>
              <w:jc w:val="right"/>
              <w:rPr>
                <w:rFonts w:ascii="Arial" w:hAnsi="Arial"/>
                <w:b/>
                <w:sz w:val="18"/>
              </w:rPr>
            </w:pPr>
            <w:r w:rsidRPr="00A3132B">
              <w:rPr>
                <w:rFonts w:ascii="Arial" w:hAnsi="Arial"/>
                <w:b/>
                <w:sz w:val="18"/>
              </w:rPr>
              <w:t>100.0</w:t>
            </w:r>
          </w:p>
        </w:tc>
      </w:tr>
    </w:tbl>
    <w:p w:rsidR="0090281D" w:rsidRDefault="0090281D" w:rsidP="00F42934">
      <w:pPr>
        <w:pStyle w:val="Fuentesyreferencias"/>
      </w:pPr>
      <w:r w:rsidRPr="0091012C">
        <w:t>Fuente: INEGI, Censo Agropecuario 2007.</w:t>
      </w:r>
    </w:p>
    <w:p w:rsidR="005F58E9" w:rsidRDefault="005F58E9" w:rsidP="006552DF">
      <w:pPr>
        <w:pStyle w:val="Fuentesyreferencias"/>
        <w:jc w:val="both"/>
      </w:pPr>
    </w:p>
    <w:p w:rsidR="009E4835" w:rsidRDefault="00461BFD" w:rsidP="00C21A75">
      <w:pPr>
        <w:numPr>
          <w:ilvl w:val="0"/>
          <w:numId w:val="33"/>
        </w:numPr>
      </w:pPr>
      <w:r w:rsidRPr="00C21A75">
        <w:t xml:space="preserve">El agua y el riego. El 74% </w:t>
      </w:r>
      <w:r w:rsidR="009E4835" w:rsidRPr="00C21A75">
        <w:t>de la superficie agrícola es de temporal</w:t>
      </w:r>
      <w:r w:rsidR="00081F30" w:rsidRPr="00C21A75">
        <w:t xml:space="preserve"> sujeta al régimen de precipitación</w:t>
      </w:r>
      <w:r w:rsidRPr="00C21A75">
        <w:t xml:space="preserve">, mientras que el 26% </w:t>
      </w:r>
      <w:r w:rsidR="009E4835" w:rsidRPr="00B47F47">
        <w:t>cuenta con sistemas de riego. Esto convierte a estas superficies en 4 veces más productivas que las de temporal en términos de valor</w:t>
      </w:r>
      <w:r w:rsidR="00F87170" w:rsidRPr="00B47F47">
        <w:t>.</w:t>
      </w:r>
    </w:p>
    <w:p w:rsidR="00921557" w:rsidRDefault="00921557" w:rsidP="00C21A75">
      <w:pPr>
        <w:pStyle w:val="Graficas"/>
      </w:pPr>
    </w:p>
    <w:p w:rsidR="00EE15FF" w:rsidRDefault="00EE15FF" w:rsidP="00C21A75">
      <w:pPr>
        <w:pStyle w:val="Graficas"/>
      </w:pPr>
      <w:r w:rsidRPr="00A818C4">
        <w:t>Gráfic</w:t>
      </w:r>
      <w:r>
        <w:t>a</w:t>
      </w:r>
      <w:r w:rsidR="0094241E">
        <w:rPr>
          <w:lang w:val="es-ES"/>
        </w:rPr>
        <w:t xml:space="preserve"> 6</w:t>
      </w:r>
      <w:r>
        <w:t>. Superficie Sembrada de Riego y Temporal</w:t>
      </w:r>
    </w:p>
    <w:p w:rsidR="00EE15FF" w:rsidRDefault="00A3132B" w:rsidP="00C21A75">
      <w:pPr>
        <w:pStyle w:val="Graficas"/>
      </w:pPr>
      <w:r>
        <w:rPr>
          <w:noProof/>
          <w:lang w:eastAsia="es-MX"/>
        </w:rPr>
        <w:drawing>
          <wp:inline distT="0" distB="0" distL="0" distR="0" wp14:anchorId="7663D242" wp14:editId="6E8637D8">
            <wp:extent cx="2383857" cy="1470526"/>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3267" cy="1470162"/>
                    </a:xfrm>
                    <a:prstGeom prst="rect">
                      <a:avLst/>
                    </a:prstGeom>
                    <a:noFill/>
                  </pic:spPr>
                </pic:pic>
              </a:graphicData>
            </a:graphic>
          </wp:inline>
        </w:drawing>
      </w:r>
    </w:p>
    <w:p w:rsidR="00EE15FF" w:rsidRPr="007815AD" w:rsidRDefault="00EE15FF" w:rsidP="00F42934">
      <w:pPr>
        <w:pStyle w:val="Fuentesyreferencias"/>
      </w:pPr>
      <w:r w:rsidRPr="007815AD">
        <w:t>Fuente: SIAP-SAGARPA, 2012.</w:t>
      </w:r>
    </w:p>
    <w:p w:rsidR="00F87170" w:rsidRDefault="00F87170" w:rsidP="00C21A75"/>
    <w:p w:rsidR="009E4835" w:rsidRDefault="009E4835" w:rsidP="00C21A75">
      <w:pPr>
        <w:numPr>
          <w:ilvl w:val="0"/>
          <w:numId w:val="33"/>
        </w:numPr>
      </w:pPr>
      <w:r w:rsidRPr="00C21A75">
        <w:t>Pobreza rural. En el ámbito rural 40.1% de la población se encuentra en pobreza moderada y 21.5% en pobreza extrema.</w:t>
      </w:r>
    </w:p>
    <w:p w:rsidR="007815AD" w:rsidRDefault="007815AD" w:rsidP="007815AD">
      <w:pPr>
        <w:ind w:left="360" w:firstLine="0"/>
      </w:pPr>
    </w:p>
    <w:p w:rsidR="00EE15FF" w:rsidRDefault="00EE15FF" w:rsidP="007815AD">
      <w:pPr>
        <w:pStyle w:val="Graficas"/>
      </w:pPr>
      <w:r w:rsidRPr="00A818C4">
        <w:t>Gráfic</w:t>
      </w:r>
      <w:r>
        <w:t>a</w:t>
      </w:r>
      <w:r w:rsidR="0094241E">
        <w:rPr>
          <w:lang w:val="es-ES"/>
        </w:rPr>
        <w:t xml:space="preserve"> 7</w:t>
      </w:r>
      <w:r>
        <w:rPr>
          <w:lang w:val="es-ES"/>
        </w:rPr>
        <w:t xml:space="preserve">. </w:t>
      </w:r>
      <w:r>
        <w:t>Evolución de la Pobreza en México</w:t>
      </w:r>
    </w:p>
    <w:p w:rsidR="00EE15FF" w:rsidRDefault="00D01934" w:rsidP="007815AD">
      <w:pPr>
        <w:jc w:val="center"/>
        <w:rPr>
          <w:rFonts w:ascii="Adobe Caslon Pro" w:hAnsi="Adobe Caslon Pro"/>
        </w:rPr>
      </w:pPr>
      <w:r>
        <w:rPr>
          <w:rFonts w:ascii="Adobe Caslon Pro" w:hAnsi="Adobe Caslon Pro"/>
          <w:noProof/>
          <w:lang w:eastAsia="es-MX"/>
        </w:rPr>
        <w:drawing>
          <wp:inline distT="0" distB="0" distL="0" distR="0" wp14:anchorId="2E193BB3" wp14:editId="191420F7">
            <wp:extent cx="2889739" cy="1913047"/>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4059" cy="1915907"/>
                    </a:xfrm>
                    <a:prstGeom prst="rect">
                      <a:avLst/>
                    </a:prstGeom>
                    <a:noFill/>
                  </pic:spPr>
                </pic:pic>
              </a:graphicData>
            </a:graphic>
          </wp:inline>
        </w:drawing>
      </w:r>
    </w:p>
    <w:p w:rsidR="00EE15FF" w:rsidRPr="007815AD" w:rsidRDefault="00EE15FF" w:rsidP="00F42934">
      <w:pPr>
        <w:pStyle w:val="Fuentesyreferencias"/>
      </w:pPr>
      <w:r w:rsidRPr="007815AD">
        <w:t>Fuente: CONEVAL.</w:t>
      </w:r>
    </w:p>
    <w:p w:rsidR="00EE15FF" w:rsidRDefault="00EE15FF" w:rsidP="00B47F47"/>
    <w:p w:rsidR="009E4835" w:rsidRDefault="009E4835" w:rsidP="00C21A75">
      <w:pPr>
        <w:numPr>
          <w:ilvl w:val="0"/>
          <w:numId w:val="33"/>
        </w:numPr>
      </w:pPr>
      <w:r w:rsidRPr="00C21A75">
        <w:t xml:space="preserve">Financiamiento escaso y caro. Las condiciones </w:t>
      </w:r>
      <w:r w:rsidR="00081F30" w:rsidRPr="00C21A75">
        <w:t>particulares de la mayoría de las unidades productivas en el medio rural</w:t>
      </w:r>
      <w:r w:rsidRPr="00C21A75">
        <w:t xml:space="preserve"> </w:t>
      </w:r>
      <w:r w:rsidR="00081F30" w:rsidRPr="00C21A75">
        <w:t xml:space="preserve">tales como bajo nivel de capitalización, régimen de propiedad de la tierra, nivel tecnológico, entre otras, </w:t>
      </w:r>
      <w:r w:rsidRPr="00C21A75">
        <w:t>dificultan el otorgamiento de c</w:t>
      </w:r>
      <w:r w:rsidR="007765C1" w:rsidRPr="00B47F47">
        <w:t xml:space="preserve">rédito, tanto en tasa, plazos y </w:t>
      </w:r>
      <w:r w:rsidRPr="00B47F47">
        <w:t>garantías.</w:t>
      </w:r>
    </w:p>
    <w:p w:rsidR="00921557" w:rsidRDefault="00921557" w:rsidP="00C21A75">
      <w:pPr>
        <w:pStyle w:val="Graficas"/>
        <w:rPr>
          <w:lang w:val="es-ES"/>
        </w:rPr>
      </w:pPr>
    </w:p>
    <w:p w:rsidR="00EE15FF" w:rsidRPr="008428A8" w:rsidRDefault="00EE15FF" w:rsidP="00C21A75">
      <w:pPr>
        <w:pStyle w:val="Graficas"/>
      </w:pPr>
      <w:r w:rsidRPr="004733A5">
        <w:rPr>
          <w:lang w:val="es-ES"/>
        </w:rPr>
        <w:t>Gráfica</w:t>
      </w:r>
      <w:r w:rsidR="0094241E" w:rsidRPr="004733A5">
        <w:rPr>
          <w:lang w:val="es-ES"/>
        </w:rPr>
        <w:t xml:space="preserve"> 8.</w:t>
      </w:r>
      <w:r w:rsidRPr="004733A5">
        <w:rPr>
          <w:lang w:val="es-ES"/>
        </w:rPr>
        <w:t xml:space="preserve"> </w:t>
      </w:r>
      <w:r w:rsidRPr="004733A5">
        <w:t xml:space="preserve"> Porcentaje de Unidades Agropecuarias con Financiamiento</w:t>
      </w:r>
    </w:p>
    <w:p w:rsidR="00EE15FF" w:rsidRDefault="004733A5" w:rsidP="007815AD">
      <w:pPr>
        <w:ind w:firstLine="0"/>
        <w:jc w:val="center"/>
        <w:rPr>
          <w:rFonts w:ascii="Adobe Caslon Pro" w:hAnsi="Adobe Caslon Pro"/>
        </w:rPr>
      </w:pPr>
      <w:r>
        <w:rPr>
          <w:rFonts w:ascii="Adobe Caslon Pro" w:hAnsi="Adobe Caslon Pro"/>
          <w:noProof/>
          <w:lang w:eastAsia="es-MX"/>
        </w:rPr>
        <w:drawing>
          <wp:inline distT="0" distB="0" distL="0" distR="0" wp14:anchorId="34415C87" wp14:editId="4A8774BE">
            <wp:extent cx="2651712" cy="1590806"/>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59349" cy="1595388"/>
                    </a:xfrm>
                    <a:prstGeom prst="rect">
                      <a:avLst/>
                    </a:prstGeom>
                    <a:noFill/>
                  </pic:spPr>
                </pic:pic>
              </a:graphicData>
            </a:graphic>
          </wp:inline>
        </w:drawing>
      </w:r>
    </w:p>
    <w:p w:rsidR="00EE15FF" w:rsidRDefault="00EE15FF" w:rsidP="00F42934">
      <w:pPr>
        <w:pStyle w:val="Fuentesyreferencias"/>
      </w:pPr>
      <w:r w:rsidRPr="00242830">
        <w:t xml:space="preserve">Fuente: </w:t>
      </w:r>
      <w:r>
        <w:t>Encuesta Nacional Agropecuaria 2012, INEGI</w:t>
      </w:r>
      <w:r w:rsidRPr="00242830">
        <w:t>.</w:t>
      </w:r>
    </w:p>
    <w:p w:rsidR="00A44C68" w:rsidRPr="00242830" w:rsidRDefault="00A44C68" w:rsidP="00F42934">
      <w:pPr>
        <w:pStyle w:val="Fuentesyreferencias"/>
      </w:pPr>
    </w:p>
    <w:p w:rsidR="009E4835" w:rsidRDefault="009E4835" w:rsidP="00C21A75">
      <w:pPr>
        <w:numPr>
          <w:ilvl w:val="0"/>
          <w:numId w:val="33"/>
        </w:numPr>
      </w:pPr>
      <w:r w:rsidRPr="00C21A75">
        <w:t>Vulnerabilidad a riesgos climáticos, sanitarios y de mercado.  El sector agropecuario está expuesto a múltiples factores externos. Dichos factores pueden afectar los resultados esperados por los productores, particularmente en abasto, calidad</w:t>
      </w:r>
      <w:r w:rsidR="00121543" w:rsidRPr="00C21A75">
        <w:t>,</w:t>
      </w:r>
      <w:r w:rsidRPr="00C21A75">
        <w:t xml:space="preserve"> precio y acceso de la población a los alimentos.</w:t>
      </w:r>
    </w:p>
    <w:p w:rsidR="00EE15FF" w:rsidRDefault="009E4835" w:rsidP="00C21A75">
      <w:pPr>
        <w:numPr>
          <w:ilvl w:val="0"/>
          <w:numId w:val="33"/>
        </w:numPr>
      </w:pPr>
      <w:r w:rsidRPr="00B47F47">
        <w:t>Desequilibrio en el desarrollo regional. Es ampliamente conocido el desarrollo desigual entre las regiones norte, centro</w:t>
      </w:r>
      <w:r w:rsidR="007765C1" w:rsidRPr="00B47F47">
        <w:t xml:space="preserve"> y sur del país, que se refleja</w:t>
      </w:r>
      <w:r w:rsidRPr="00B47F47">
        <w:t xml:space="preserve"> en diferencias en el crecimiento de su economía y el ingreso de sus habitantes</w:t>
      </w:r>
      <w:r w:rsidR="00121543" w:rsidRPr="00B47F47">
        <w:t>.</w:t>
      </w:r>
      <w:r w:rsidR="0090281D" w:rsidRPr="00EE15FF">
        <w:t xml:space="preserve"> </w:t>
      </w:r>
    </w:p>
    <w:p w:rsidR="00EE15FF" w:rsidRPr="0094241E" w:rsidRDefault="00EE15FF" w:rsidP="00C21A75"/>
    <w:p w:rsidR="00EE15FF" w:rsidRDefault="00EE15FF" w:rsidP="007815AD">
      <w:pPr>
        <w:pStyle w:val="Graficas"/>
      </w:pPr>
      <w:r w:rsidRPr="00A818C4">
        <w:t>Gráfic</w:t>
      </w:r>
      <w:r>
        <w:t>a</w:t>
      </w:r>
      <w:r w:rsidR="0094241E">
        <w:rPr>
          <w:lang w:val="es-ES"/>
        </w:rPr>
        <w:t xml:space="preserve"> 9</w:t>
      </w:r>
      <w:r>
        <w:t>. Distribución Estatal del Valor Generado en el Sector Primario Nacional</w:t>
      </w:r>
    </w:p>
    <w:p w:rsidR="00EE15FF" w:rsidRPr="007815AD" w:rsidRDefault="00EC7870" w:rsidP="00C21A75">
      <w:pPr>
        <w:pStyle w:val="Graficas"/>
        <w:rPr>
          <w:sz w:val="18"/>
          <w:szCs w:val="18"/>
        </w:rPr>
      </w:pPr>
      <w:r>
        <w:rPr>
          <w:noProof/>
          <w:sz w:val="18"/>
          <w:szCs w:val="18"/>
          <w:lang w:eastAsia="es-MX"/>
        </w:rPr>
        <w:drawing>
          <wp:inline distT="0" distB="0" distL="0" distR="0" wp14:anchorId="499684B9" wp14:editId="2E6E9608">
            <wp:extent cx="3124835" cy="1701800"/>
            <wp:effectExtent l="0" t="0" r="0" b="0"/>
            <wp:docPr id="4" name="Imagen 2" descr="ProduccionColocacion_25abril2014_Pep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duccionColocacion_25abril2014_Pepe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24835" cy="1701800"/>
                    </a:xfrm>
                    <a:prstGeom prst="rect">
                      <a:avLst/>
                    </a:prstGeom>
                    <a:noFill/>
                    <a:ln>
                      <a:noFill/>
                    </a:ln>
                  </pic:spPr>
                </pic:pic>
              </a:graphicData>
            </a:graphic>
          </wp:inline>
        </w:drawing>
      </w:r>
    </w:p>
    <w:p w:rsidR="00EE15FF" w:rsidRPr="007815AD" w:rsidRDefault="00EE15FF" w:rsidP="00F42934">
      <w:pPr>
        <w:pStyle w:val="Fuentesyreferencias"/>
      </w:pPr>
      <w:r w:rsidRPr="007815AD">
        <w:t>Fuente: SIAP-SAGARPA (2012), CONAPESCA (2012) y SEMARNAT (2011).</w:t>
      </w:r>
    </w:p>
    <w:p w:rsidR="00EE15FF" w:rsidRPr="00C21A75" w:rsidRDefault="00EE15FF" w:rsidP="00B47F47"/>
    <w:p w:rsidR="009E4835" w:rsidRPr="00C21A75" w:rsidRDefault="009E4835" w:rsidP="00C21A75">
      <w:pPr>
        <w:numPr>
          <w:ilvl w:val="0"/>
          <w:numId w:val="33"/>
        </w:numPr>
      </w:pPr>
      <w:r w:rsidRPr="00C21A75">
        <w:t>Degradación de los recursos naturales. En varios casos, los sistemas de producción generan sobreexplotación de los recursos naturales, con el deterioro consecuente en los ecosistemas</w:t>
      </w:r>
      <w:r w:rsidR="00121543" w:rsidRPr="00C21A75">
        <w:t>.</w:t>
      </w:r>
    </w:p>
    <w:p w:rsidR="009E4835" w:rsidRPr="00B47F47" w:rsidRDefault="00081F30" w:rsidP="00C21A75">
      <w:pPr>
        <w:numPr>
          <w:ilvl w:val="0"/>
          <w:numId w:val="33"/>
        </w:numPr>
      </w:pPr>
      <w:r w:rsidRPr="00B47F47">
        <w:t xml:space="preserve">Marco </w:t>
      </w:r>
      <w:r w:rsidR="009E4835" w:rsidRPr="00B47F47">
        <w:t>jurídico-institucional. En los últimos años, se instrumentaron programas desarticulados entre sí, con coordinación deficiente entre instituciones, y con reglas de operación complejas y poco claras.</w:t>
      </w:r>
    </w:p>
    <w:p w:rsidR="007815AD" w:rsidRDefault="007815AD" w:rsidP="00C21A75"/>
    <w:p w:rsidR="007765C1" w:rsidRPr="00C21A75" w:rsidRDefault="007765C1" w:rsidP="00C21A75">
      <w:r w:rsidRPr="00B47F47">
        <w:t xml:space="preserve">Estos retos se han traducido históricamente en barreras para otorgar financiamiento en comunidades rurales. </w:t>
      </w:r>
      <w:r w:rsidRPr="00C21A75">
        <w:t xml:space="preserve">Esto implica que el desafío crediticio tiene un fuerte componente estructural, </w:t>
      </w:r>
      <w:r w:rsidR="002264CB" w:rsidRPr="00C21A75">
        <w:t xml:space="preserve">el cual </w:t>
      </w:r>
      <w:r w:rsidR="00081F30" w:rsidRPr="00C21A75">
        <w:t>requiere</w:t>
      </w:r>
      <w:r w:rsidR="002264CB" w:rsidRPr="00C21A75">
        <w:t xml:space="preserve"> estrategias transve</w:t>
      </w:r>
      <w:r w:rsidR="0094241E" w:rsidRPr="00C21A75">
        <w:t>rsales e interinstitucionales.</w:t>
      </w:r>
      <w:r w:rsidR="0094241E">
        <w:t xml:space="preserve"> </w:t>
      </w:r>
      <w:r w:rsidR="0090281D">
        <w:t>Además, estas barreras en cierta medida explican</w:t>
      </w:r>
      <w:r w:rsidR="005F58E9">
        <w:t xml:space="preserve"> </w:t>
      </w:r>
      <w:r w:rsidR="0090281D">
        <w:t>el patrón de comportamiento que ha tenido el financiamiento en el s</w:t>
      </w:r>
      <w:r w:rsidR="007815AD">
        <w:t>ector durante los últimos años.</w:t>
      </w:r>
    </w:p>
    <w:p w:rsidR="007765C1" w:rsidRPr="00C21A75" w:rsidRDefault="007765C1" w:rsidP="00C21A75"/>
    <w:p w:rsidR="009E4835" w:rsidRPr="00C21A75" w:rsidRDefault="009E4835" w:rsidP="007815AD">
      <w:pPr>
        <w:pStyle w:val="Ttulo3"/>
      </w:pPr>
      <w:r w:rsidRPr="00C21A75">
        <w:t xml:space="preserve">Crédito en el sector primario y </w:t>
      </w:r>
      <w:r w:rsidR="00081F30" w:rsidRPr="00C21A75">
        <w:t xml:space="preserve">en el medio </w:t>
      </w:r>
      <w:r w:rsidRPr="00C21A75">
        <w:t>rural.</w:t>
      </w:r>
    </w:p>
    <w:p w:rsidR="009E4835" w:rsidRPr="00B47F47" w:rsidRDefault="009E4835" w:rsidP="00B47F47">
      <w:r w:rsidRPr="00B47F47">
        <w:t xml:space="preserve">Es reconocido en la literatura económica y en el diseño de política pública la importancia que tiene el crédito como un elemento activo en los procesos de modernización y transformación del sector </w:t>
      </w:r>
      <w:r w:rsidR="002264CB" w:rsidRPr="00B47F47">
        <w:t>primario</w:t>
      </w:r>
      <w:r w:rsidR="006552DF">
        <w:t>.</w:t>
      </w:r>
    </w:p>
    <w:p w:rsidR="009E4835" w:rsidRPr="00B47F47" w:rsidRDefault="009E4835" w:rsidP="00B47F47">
      <w:r w:rsidRPr="00B47F47">
        <w:lastRenderedPageBreak/>
        <w:t xml:space="preserve">En México, el crédito al sector agropecuario y rural ha presentado diversas etapas, en función del entorno económico y de la situación en el sector. En términos de su organización, </w:t>
      </w:r>
      <w:r w:rsidR="002264CB" w:rsidRPr="00B47F47">
        <w:t>el</w:t>
      </w:r>
      <w:r w:rsidRPr="00B47F47">
        <w:t xml:space="preserve"> punto de inflexión se presentó con el cierre de Banco Nacional de Crédito Rural </w:t>
      </w:r>
      <w:r w:rsidR="002264CB" w:rsidRPr="00B47F47">
        <w:t xml:space="preserve">(BANRURAL) </w:t>
      </w:r>
      <w:r w:rsidRPr="00B47F47">
        <w:t>y la c</w:t>
      </w:r>
      <w:r w:rsidR="002264CB" w:rsidRPr="00B47F47">
        <w:t>reación y puesta en marcha de</w:t>
      </w:r>
      <w:r w:rsidRPr="00B47F47">
        <w:t xml:space="preserve"> Financiera Rural.</w:t>
      </w:r>
    </w:p>
    <w:p w:rsidR="009E4835" w:rsidRDefault="009E4835" w:rsidP="00B47F47">
      <w:r w:rsidRPr="00B47F47">
        <w:t>Desde hace varios años, el financiamiento al sector primario se encuentra prácticamente estancado. Incluso, el valor del financiamiento al cierre de 2012, fue, en términos reales, prácticamente idéntico al valor del 2000</w:t>
      </w:r>
      <w:r w:rsidR="007815AD">
        <w:t xml:space="preserve"> e incluso inferior al de 1990.</w:t>
      </w:r>
    </w:p>
    <w:p w:rsidR="00921557" w:rsidRDefault="00921557" w:rsidP="00B47F47"/>
    <w:p w:rsidR="007765C1" w:rsidRDefault="007765C1" w:rsidP="00C21A75">
      <w:pPr>
        <w:pStyle w:val="Graficas"/>
      </w:pPr>
      <w:r w:rsidRPr="007765C1">
        <w:t>Gráfica</w:t>
      </w:r>
      <w:r w:rsidR="007018D0" w:rsidRPr="00B47F47">
        <w:rPr>
          <w:lang w:val="es-ES"/>
        </w:rPr>
        <w:t xml:space="preserve"> </w:t>
      </w:r>
      <w:r w:rsidR="007018D0">
        <w:rPr>
          <w:lang w:val="es-ES"/>
        </w:rPr>
        <w:t>10</w:t>
      </w:r>
      <w:r w:rsidRPr="007765C1">
        <w:t>. Financiamiento al Sector Primario.</w:t>
      </w:r>
    </w:p>
    <w:p w:rsidR="008B1AAB" w:rsidRDefault="00B10C87" w:rsidP="007815AD">
      <w:pPr>
        <w:jc w:val="center"/>
      </w:pPr>
      <w:r>
        <w:rPr>
          <w:noProof/>
          <w:lang w:eastAsia="es-MX"/>
        </w:rPr>
        <w:drawing>
          <wp:inline distT="0" distB="0" distL="0" distR="0" wp14:anchorId="637E8F2A" wp14:editId="09472B6F">
            <wp:extent cx="3141785" cy="154760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43802" cy="1548600"/>
                    </a:xfrm>
                    <a:prstGeom prst="rect">
                      <a:avLst/>
                    </a:prstGeom>
                    <a:noFill/>
                  </pic:spPr>
                </pic:pic>
              </a:graphicData>
            </a:graphic>
          </wp:inline>
        </w:drawing>
      </w:r>
    </w:p>
    <w:p w:rsidR="008B1AAB" w:rsidRDefault="008B1AAB" w:rsidP="00F42934">
      <w:pPr>
        <w:pStyle w:val="Fuentesyreferencias"/>
      </w:pPr>
      <w:r w:rsidRPr="00E11BBE">
        <w:t>Fuente:</w:t>
      </w:r>
      <w:r w:rsidR="00065C05" w:rsidRPr="00E11BBE">
        <w:t xml:space="preserve"> Financiera Nacional, FIRA y Banco de México.</w:t>
      </w:r>
    </w:p>
    <w:p w:rsidR="005F58E9" w:rsidRPr="008B1AAB" w:rsidRDefault="005F58E9" w:rsidP="00F42934">
      <w:pPr>
        <w:pStyle w:val="Fuentesyreferencias"/>
      </w:pPr>
    </w:p>
    <w:p w:rsidR="009E4835" w:rsidRPr="00C21A75" w:rsidRDefault="009E4835" w:rsidP="00C21A75">
      <w:r w:rsidRPr="00C21A75">
        <w:t>De igual forma, si se analiza el financiamiento al sector como proporción de</w:t>
      </w:r>
      <w:r w:rsidR="002264CB" w:rsidRPr="00C21A75">
        <w:t>l</w:t>
      </w:r>
      <w:r w:rsidRPr="00C21A75">
        <w:t xml:space="preserve"> PIB primario, las conclusiones son similares. En México, al cierre de 2012 el financiamiento al sector cubrió alrededor de 25.4% del PIB primario, cifra inferior a las proporciones financiadas en el año 2000 e incluso en 1990. Además, este dato está por debajo del financiamiento observado en toda la economía mexicana (27.7% como proporción del PIB)</w:t>
      </w:r>
      <w:r w:rsidR="00405F1E" w:rsidRPr="00C21A75">
        <w:t>.</w:t>
      </w:r>
    </w:p>
    <w:p w:rsidR="009E4835" w:rsidRPr="00B47F47" w:rsidRDefault="009E4835" w:rsidP="00C21A75"/>
    <w:p w:rsidR="009E4835" w:rsidRPr="008B1AAB" w:rsidRDefault="002264CB" w:rsidP="007815AD">
      <w:pPr>
        <w:pStyle w:val="Graficas"/>
      </w:pPr>
      <w:r w:rsidRPr="008B1AAB">
        <w:t>Gráfica</w:t>
      </w:r>
      <w:r w:rsidR="007018D0" w:rsidRPr="00B47F47">
        <w:rPr>
          <w:lang w:val="es-ES"/>
        </w:rPr>
        <w:t xml:space="preserve"> </w:t>
      </w:r>
      <w:r w:rsidR="007018D0">
        <w:rPr>
          <w:lang w:val="es-ES"/>
        </w:rPr>
        <w:t>11</w:t>
      </w:r>
      <w:r w:rsidRPr="008B1AAB">
        <w:t xml:space="preserve">. </w:t>
      </w:r>
      <w:r w:rsidR="009E4835" w:rsidRPr="008B1AAB">
        <w:t>Financiamiento al sector primario como proporción del PIB</w:t>
      </w:r>
      <w:r w:rsidR="00065C05">
        <w:t>.</w:t>
      </w:r>
    </w:p>
    <w:p w:rsidR="008B1AAB" w:rsidRDefault="00B10C87" w:rsidP="007815AD">
      <w:pPr>
        <w:ind w:firstLine="0"/>
        <w:jc w:val="center"/>
        <w:rPr>
          <w:highlight w:val="yellow"/>
        </w:rPr>
      </w:pPr>
      <w:r>
        <w:rPr>
          <w:noProof/>
          <w:lang w:eastAsia="es-MX"/>
        </w:rPr>
        <w:drawing>
          <wp:inline distT="0" distB="0" distL="0" distR="0" wp14:anchorId="0A59E764" wp14:editId="360EA54B">
            <wp:extent cx="4155831" cy="205032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58452" cy="2051618"/>
                    </a:xfrm>
                    <a:prstGeom prst="rect">
                      <a:avLst/>
                    </a:prstGeom>
                    <a:noFill/>
                  </pic:spPr>
                </pic:pic>
              </a:graphicData>
            </a:graphic>
          </wp:inline>
        </w:drawing>
      </w:r>
    </w:p>
    <w:p w:rsidR="002264CB" w:rsidRPr="009E4835" w:rsidRDefault="002264CB" w:rsidP="00F42934">
      <w:pPr>
        <w:pStyle w:val="Fuentesyreferencias"/>
      </w:pPr>
      <w:r w:rsidRPr="002204DA">
        <w:t xml:space="preserve">Fuente: </w:t>
      </w:r>
      <w:r w:rsidR="00C90EF8" w:rsidRPr="002204DA">
        <w:t>Financiera Nacional, FIRA, Banco de México e INEGI.</w:t>
      </w:r>
    </w:p>
    <w:p w:rsidR="00074E9A" w:rsidRPr="00C21A75" w:rsidRDefault="00074E9A" w:rsidP="00C21A75"/>
    <w:p w:rsidR="009E4835" w:rsidRPr="00C21A75" w:rsidRDefault="009E4835" w:rsidP="00C21A75">
      <w:r w:rsidRPr="00C21A75">
        <w:t>La explicación fundamental a este comportamiento, se debe a que en el periodo 2000-2012, la tasa de crecimiento promedio anual fue apenas superior a cero (0.01%). Es importante</w:t>
      </w:r>
      <w:r w:rsidR="002264CB" w:rsidRPr="00C21A75">
        <w:t xml:space="preserve"> contrastar esta cifra con los increme</w:t>
      </w:r>
      <w:r w:rsidRPr="00C21A75">
        <w:t>ntos observados en las actividades p</w:t>
      </w:r>
      <w:r w:rsidR="002264CB" w:rsidRPr="00B47F47">
        <w:t>rimarias en el mismo periodo, lo</w:t>
      </w:r>
      <w:r w:rsidRPr="00B47F47">
        <w:t xml:space="preserve">s cuales ascendieron a 1.35% (como referencia, en el mismo </w:t>
      </w:r>
      <w:r w:rsidRPr="00C21A75">
        <w:t xml:space="preserve">periodo el PIB </w:t>
      </w:r>
      <w:r w:rsidR="007815AD">
        <w:t>creció 2.1% en promedio anual).</w:t>
      </w:r>
    </w:p>
    <w:p w:rsidR="009E4835" w:rsidRPr="00B47F47" w:rsidRDefault="009E4835" w:rsidP="00C21A75">
      <w:r w:rsidRPr="00C21A75">
        <w:t xml:space="preserve">Como puede apreciarse, aunque </w:t>
      </w:r>
      <w:r w:rsidR="002264CB" w:rsidRPr="00C21A75">
        <w:t>la dinámica del sector primario fue modesta</w:t>
      </w:r>
      <w:r w:rsidRPr="00C21A75">
        <w:t>, el financiamiento no acompañó las necesidades de crecimiento. En este sentido, es claro que se requier</w:t>
      </w:r>
      <w:r w:rsidRPr="00B47F47">
        <w:t>e revertir el círculo “vicioso”, donde una oferta restrictiva de finan</w:t>
      </w:r>
      <w:r w:rsidR="002264CB" w:rsidRPr="00B47F47">
        <w:t xml:space="preserve">ciamiento no logra potenciar </w:t>
      </w:r>
      <w:r w:rsidRPr="00B47F47">
        <w:t>la producción sectorial, y a su vez, la producción sectorial es insuficiente para lograr una demanda vigorosa de crédito.</w:t>
      </w:r>
    </w:p>
    <w:p w:rsidR="009E4835" w:rsidRDefault="009E4835" w:rsidP="00C21A75">
      <w:r w:rsidRPr="00B47F47">
        <w:t xml:space="preserve">Adicionalmente, se ha presentado otro fenómeno que explica la situación que se ha observado en el financiamiento en el sector primario. Al cierre de 2012, la participación </w:t>
      </w:r>
      <w:r w:rsidR="0057498B">
        <w:t xml:space="preserve">de la banca </w:t>
      </w:r>
      <w:r w:rsidRPr="00B47F47">
        <w:t xml:space="preserve">privada fue del 37%, mientras que la Banca de Desarrollo (Financiera Rural y FIRA) aportó el 63% </w:t>
      </w:r>
      <w:r w:rsidR="002264CB" w:rsidRPr="00B47F47">
        <w:t>restante</w:t>
      </w:r>
      <w:r w:rsidRPr="00B47F47">
        <w:t xml:space="preserve">. </w:t>
      </w:r>
      <w:r w:rsidRPr="00C21A75">
        <w:t xml:space="preserve">Como marco de </w:t>
      </w:r>
      <w:r w:rsidRPr="00C21A75">
        <w:lastRenderedPageBreak/>
        <w:t>referencia, si se toma toda la cartera del sector bancario</w:t>
      </w:r>
      <w:r w:rsidR="00EE7E5D" w:rsidRPr="00C21A75">
        <w:t xml:space="preserve"> en México (</w:t>
      </w:r>
      <w:r w:rsidR="00846940">
        <w:t>B</w:t>
      </w:r>
      <w:r w:rsidR="00EE7E5D">
        <w:t xml:space="preserve">anca </w:t>
      </w:r>
      <w:r w:rsidR="00846940">
        <w:t>C</w:t>
      </w:r>
      <w:r w:rsidR="00405F1E">
        <w:t>omercial</w:t>
      </w:r>
      <w:r w:rsidR="00EE7E5D" w:rsidRPr="00C21A75">
        <w:t xml:space="preserve"> más B</w:t>
      </w:r>
      <w:r w:rsidRPr="00C21A75">
        <w:t>anc</w:t>
      </w:r>
      <w:r w:rsidR="00EE7E5D" w:rsidRPr="00C21A75">
        <w:t>a de D</w:t>
      </w:r>
      <w:r w:rsidRPr="00C21A75">
        <w:t xml:space="preserve">esarrollo), la </w:t>
      </w:r>
      <w:r w:rsidR="00846940">
        <w:t>B</w:t>
      </w:r>
      <w:r w:rsidRPr="009E4835">
        <w:t xml:space="preserve">anca </w:t>
      </w:r>
      <w:r w:rsidR="00846940">
        <w:t>C</w:t>
      </w:r>
      <w:r w:rsidR="00405F1E">
        <w:t>omercial</w:t>
      </w:r>
      <w:r w:rsidR="00405F1E" w:rsidRPr="00C21A75">
        <w:t xml:space="preserve"> </w:t>
      </w:r>
      <w:r w:rsidRPr="00C21A75">
        <w:t xml:space="preserve">tiene casi el 83% de la </w:t>
      </w:r>
      <w:r w:rsidR="00EE7E5D" w:rsidRPr="00C21A75">
        <w:t>cartera total, mientras que la Banca de D</w:t>
      </w:r>
      <w:r w:rsidR="007815AD">
        <w:t xml:space="preserve">esarrollo tiene el </w:t>
      </w:r>
      <w:r w:rsidRPr="00C21A75">
        <w:t>17% de participación.</w:t>
      </w:r>
    </w:p>
    <w:p w:rsidR="005F58E9" w:rsidRDefault="005F58E9" w:rsidP="00C21A75"/>
    <w:p w:rsidR="009E4835" w:rsidRPr="00EE7E5D" w:rsidRDefault="00EE7E5D" w:rsidP="007815AD">
      <w:pPr>
        <w:pStyle w:val="Graficas"/>
      </w:pPr>
      <w:r w:rsidRPr="00EE7E5D">
        <w:t>Gráfica</w:t>
      </w:r>
      <w:r w:rsidR="007018D0" w:rsidRPr="00B47F47">
        <w:rPr>
          <w:lang w:val="es-ES"/>
        </w:rPr>
        <w:t xml:space="preserve"> </w:t>
      </w:r>
      <w:r w:rsidR="007018D0">
        <w:rPr>
          <w:lang w:val="es-ES"/>
        </w:rPr>
        <w:t>12</w:t>
      </w:r>
      <w:r w:rsidRPr="00EE7E5D">
        <w:t xml:space="preserve">. </w:t>
      </w:r>
      <w:r w:rsidR="009E4835" w:rsidRPr="00EE7E5D">
        <w:t>Proporción del financiamiento público y privado al sector primario</w:t>
      </w:r>
      <w:r w:rsidR="00065C05">
        <w:t>.</w:t>
      </w:r>
    </w:p>
    <w:p w:rsidR="00D4647D" w:rsidRDefault="0066077E" w:rsidP="007815AD">
      <w:pPr>
        <w:ind w:firstLine="0"/>
        <w:jc w:val="center"/>
      </w:pPr>
      <w:r>
        <w:rPr>
          <w:noProof/>
          <w:lang w:eastAsia="es-MX"/>
        </w:rPr>
        <w:drawing>
          <wp:inline distT="0" distB="0" distL="0" distR="0" wp14:anchorId="6AE81066" wp14:editId="63CA174F">
            <wp:extent cx="4247614" cy="2094523"/>
            <wp:effectExtent l="0" t="0" r="0" b="127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63495" cy="2102354"/>
                    </a:xfrm>
                    <a:prstGeom prst="rect">
                      <a:avLst/>
                    </a:prstGeom>
                    <a:noFill/>
                  </pic:spPr>
                </pic:pic>
              </a:graphicData>
            </a:graphic>
          </wp:inline>
        </w:drawing>
      </w:r>
    </w:p>
    <w:p w:rsidR="009E4835" w:rsidRDefault="00EE7E5D" w:rsidP="00F42934">
      <w:pPr>
        <w:pStyle w:val="Fuentesyreferencias"/>
      </w:pPr>
      <w:r w:rsidRPr="00E11BBE">
        <w:t>Fuente:</w:t>
      </w:r>
      <w:r w:rsidR="00C90EF8" w:rsidRPr="00E11BBE">
        <w:t xml:space="preserve"> Financiera Nacional, FIRA y Banco de México.</w:t>
      </w:r>
      <w:r w:rsidRPr="00EE7E5D">
        <w:t xml:space="preserve"> </w:t>
      </w:r>
    </w:p>
    <w:p w:rsidR="005F58E9" w:rsidRPr="00EE7E5D" w:rsidRDefault="005F58E9" w:rsidP="00F42934">
      <w:pPr>
        <w:pStyle w:val="Fuentesyreferencias"/>
      </w:pPr>
    </w:p>
    <w:p w:rsidR="002204DA" w:rsidRPr="00C21A75" w:rsidRDefault="00846940" w:rsidP="00C21A75">
      <w:r w:rsidRPr="009E4835">
        <w:t>Los datos revelan que en el añ</w:t>
      </w:r>
      <w:r>
        <w:t>o 2000, la participación de la Banca C</w:t>
      </w:r>
      <w:r w:rsidRPr="009E4835">
        <w:t>omercial era del 45%, mientras que en 199</w:t>
      </w:r>
      <w:r w:rsidR="00460FC4">
        <w:t xml:space="preserve">0, la participación era del 62%. </w:t>
      </w:r>
      <w:r w:rsidR="009E4835" w:rsidRPr="00C21A75">
        <w:t xml:space="preserve">El elemento principal que explica esta situación radica en que la </w:t>
      </w:r>
      <w:r>
        <w:t>B</w:t>
      </w:r>
      <w:r w:rsidR="009E4835" w:rsidRPr="009E4835">
        <w:t xml:space="preserve">anca </w:t>
      </w:r>
      <w:r>
        <w:t>C</w:t>
      </w:r>
      <w:r w:rsidR="009E4835" w:rsidRPr="009E4835">
        <w:t>omercial</w:t>
      </w:r>
      <w:r w:rsidR="009E4835" w:rsidRPr="00C21A75">
        <w:t xml:space="preserve"> entre 1990 y 2012 redujo a la mitad su</w:t>
      </w:r>
      <w:r w:rsidR="00817FFC" w:rsidRPr="00C21A75">
        <w:t xml:space="preserve"> participación en el</w:t>
      </w:r>
      <w:r w:rsidR="009E4835" w:rsidRPr="00C21A75">
        <w:t xml:space="preserve"> financi</w:t>
      </w:r>
      <w:r w:rsidR="00817FFC" w:rsidRPr="00C21A75">
        <w:t>amiento</w:t>
      </w:r>
      <w:r w:rsidR="002264CB" w:rsidRPr="00C21A75">
        <w:t xml:space="preserve"> en términos constantes</w:t>
      </w:r>
      <w:r w:rsidR="009E4835" w:rsidRPr="00C21A75">
        <w:t>. Considerando que los recursos públicos son escasos y que también es necesario destinarlos a otros fines de igual importancia para la sociedad, se requiere impulsar una mayor participación de la banc</w:t>
      </w:r>
      <w:r w:rsidR="00817FFC" w:rsidRPr="00B47F47">
        <w:t>a privada en el financiamiento a</w:t>
      </w:r>
      <w:r w:rsidR="00EE15FF" w:rsidRPr="00B47F47">
        <w:t>l sector</w:t>
      </w:r>
    </w:p>
    <w:p w:rsidR="002204DA" w:rsidRDefault="002204DA" w:rsidP="00B47F47">
      <w:pPr>
        <w:pStyle w:val="Graficas"/>
      </w:pPr>
    </w:p>
    <w:p w:rsidR="00D011B0" w:rsidRPr="00EE7E5D" w:rsidRDefault="00EE7E5D" w:rsidP="007815AD">
      <w:pPr>
        <w:pStyle w:val="Graficas"/>
      </w:pPr>
      <w:r w:rsidRPr="00EE7E5D">
        <w:t>Gráfica</w:t>
      </w:r>
      <w:r w:rsidR="00EE15FF">
        <w:t xml:space="preserve"> </w:t>
      </w:r>
      <w:r w:rsidR="007018D0">
        <w:rPr>
          <w:lang w:val="es-ES"/>
        </w:rPr>
        <w:t>13</w:t>
      </w:r>
      <w:r w:rsidRPr="00EE7E5D">
        <w:t xml:space="preserve">. Financiamiento de la </w:t>
      </w:r>
      <w:r w:rsidR="00846940">
        <w:t>B</w:t>
      </w:r>
      <w:r w:rsidR="005F0EC0">
        <w:t>anca C</w:t>
      </w:r>
      <w:r w:rsidRPr="00EE7E5D">
        <w:t>omercial</w:t>
      </w:r>
      <w:r w:rsidR="00065C05">
        <w:t>.</w:t>
      </w:r>
      <w:r w:rsidR="00E07897">
        <w:t xml:space="preserve"> Precios constantes Diciembre 2013.</w:t>
      </w:r>
    </w:p>
    <w:p w:rsidR="00D4647D" w:rsidRPr="00C21A75" w:rsidRDefault="00B10C87" w:rsidP="007815AD">
      <w:pPr>
        <w:ind w:firstLine="0"/>
        <w:jc w:val="center"/>
        <w:rPr>
          <w:rFonts w:ascii="Adobe Caslon Pro" w:hAnsi="Adobe Caslon Pro"/>
        </w:rPr>
      </w:pPr>
      <w:r>
        <w:rPr>
          <w:rFonts w:ascii="Adobe Caslon Pro" w:hAnsi="Adobe Caslon Pro"/>
          <w:noProof/>
          <w:lang w:eastAsia="es-MX"/>
        </w:rPr>
        <w:drawing>
          <wp:inline distT="0" distB="0" distL="0" distR="0" wp14:anchorId="5AED0E16" wp14:editId="53423A68">
            <wp:extent cx="1631903" cy="914400"/>
            <wp:effectExtent l="0" t="0" r="698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44088" cy="921228"/>
                    </a:xfrm>
                    <a:prstGeom prst="rect">
                      <a:avLst/>
                    </a:prstGeom>
                    <a:noFill/>
                  </pic:spPr>
                </pic:pic>
              </a:graphicData>
            </a:graphic>
          </wp:inline>
        </w:drawing>
      </w:r>
    </w:p>
    <w:p w:rsidR="00EE7E5D" w:rsidRPr="00EE7E5D" w:rsidRDefault="00817FFC" w:rsidP="00F42934">
      <w:pPr>
        <w:pStyle w:val="Fuentesyreferencias"/>
      </w:pPr>
      <w:r w:rsidRPr="00C90EF8">
        <w:t>Fuente:</w:t>
      </w:r>
      <w:r w:rsidR="00C90EF8" w:rsidRPr="00C90EF8">
        <w:t xml:space="preserve"> Banco de México.</w:t>
      </w:r>
      <w:r>
        <w:t xml:space="preserve"> </w:t>
      </w:r>
    </w:p>
    <w:p w:rsidR="009E4835" w:rsidRPr="00C21A75" w:rsidRDefault="009E4835" w:rsidP="00C21A75"/>
    <w:p w:rsidR="009E4835" w:rsidRPr="00C21A75" w:rsidRDefault="009E4835" w:rsidP="00C21A75">
      <w:r w:rsidRPr="00C21A75">
        <w:t>El esfuerzo que realizó la Banca de Desarrollo en estos últimos años fue claramente insuficiente para cubrir la brecha que se presentó con la disminución del financi</w:t>
      </w:r>
      <w:r w:rsidR="00D95765">
        <w:t>amiento de la Banca C</w:t>
      </w:r>
      <w:r w:rsidR="007815AD">
        <w:t xml:space="preserve">omercial. </w:t>
      </w:r>
      <w:r w:rsidRPr="00C21A75">
        <w:t>Aunque la cifra observada para 2012 es superior a</w:t>
      </w:r>
      <w:r w:rsidR="00817FFC" w:rsidRPr="00C21A75">
        <w:t xml:space="preserve"> la del año 2000 y a la de 1990</w:t>
      </w:r>
      <w:r w:rsidR="00846940">
        <w:t>,</w:t>
      </w:r>
      <w:r w:rsidR="00817FFC">
        <w:t xml:space="preserve"> </w:t>
      </w:r>
      <w:r w:rsidR="00846940">
        <w:t>e</w:t>
      </w:r>
      <w:r w:rsidRPr="009E4835">
        <w:t>n</w:t>
      </w:r>
      <w:r w:rsidRPr="00C21A75">
        <w:t xml:space="preserve"> términos del saldo al cierre</w:t>
      </w:r>
      <w:r w:rsidR="003A0D1F">
        <w:t>,</w:t>
      </w:r>
      <w:r w:rsidRPr="00C21A75">
        <w:t xml:space="preserve"> la tasa de crecimiento promedio anual </w:t>
      </w:r>
      <w:r w:rsidR="00817FFC" w:rsidRPr="00C21A75">
        <w:t xml:space="preserve">para el periodo 2000-2012 </w:t>
      </w:r>
      <w:r w:rsidRPr="00C21A75">
        <w:t xml:space="preserve">fue de 1.2%. Esta cifra se encuentra por debajo del crecimiento promedio del PIB del sector primario para el mismo periodo </w:t>
      </w:r>
      <w:r w:rsidR="00817FFC" w:rsidRPr="00C21A75">
        <w:t>que fue de 1.35%.</w:t>
      </w:r>
    </w:p>
    <w:p w:rsidR="009E4835" w:rsidRPr="00B47F47" w:rsidRDefault="009E4835" w:rsidP="00C21A75"/>
    <w:p w:rsidR="00405F1E" w:rsidRDefault="00817FFC" w:rsidP="007815AD">
      <w:pPr>
        <w:pStyle w:val="Graficas"/>
      </w:pPr>
      <w:r w:rsidRPr="00817FFC">
        <w:t>Gráfica</w:t>
      </w:r>
      <w:r w:rsidR="007018D0">
        <w:t xml:space="preserve"> </w:t>
      </w:r>
      <w:r w:rsidR="007018D0">
        <w:rPr>
          <w:lang w:val="es-ES"/>
        </w:rPr>
        <w:t>14</w:t>
      </w:r>
      <w:r w:rsidRPr="00817FFC">
        <w:t xml:space="preserve">. </w:t>
      </w:r>
      <w:r w:rsidR="009E4835" w:rsidRPr="00817FFC">
        <w:t>Financiamiento al Sector Primario por la Banca de Desarrollo</w:t>
      </w:r>
      <w:r w:rsidR="00065C05">
        <w:t>.</w:t>
      </w:r>
    </w:p>
    <w:p w:rsidR="00D4647D" w:rsidRDefault="003C58D2" w:rsidP="007815AD">
      <w:pPr>
        <w:ind w:firstLine="0"/>
        <w:jc w:val="center"/>
      </w:pPr>
      <w:r>
        <w:rPr>
          <w:noProof/>
          <w:lang w:eastAsia="es-MX"/>
        </w:rPr>
        <w:drawing>
          <wp:inline distT="0" distB="0" distL="0" distR="0" wp14:anchorId="2EC78E82" wp14:editId="38B2EC31">
            <wp:extent cx="3196492" cy="1576209"/>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97896" cy="1576901"/>
                    </a:xfrm>
                    <a:prstGeom prst="rect">
                      <a:avLst/>
                    </a:prstGeom>
                    <a:noFill/>
                  </pic:spPr>
                </pic:pic>
              </a:graphicData>
            </a:graphic>
          </wp:inline>
        </w:drawing>
      </w:r>
    </w:p>
    <w:p w:rsidR="009E4835" w:rsidRPr="00817FFC" w:rsidRDefault="00817FFC" w:rsidP="00F42934">
      <w:pPr>
        <w:pStyle w:val="Fuentesyreferencias"/>
      </w:pPr>
      <w:r w:rsidRPr="00E11BBE">
        <w:t>Fuente:</w:t>
      </w:r>
      <w:r w:rsidR="00065C05" w:rsidRPr="00E11BBE">
        <w:t xml:space="preserve"> </w:t>
      </w:r>
      <w:r w:rsidR="00E07897" w:rsidRPr="00E11BBE">
        <w:t>Banco de México.</w:t>
      </w:r>
    </w:p>
    <w:p w:rsidR="00405F1E" w:rsidRPr="00C21A75" w:rsidRDefault="00405F1E" w:rsidP="00C21A75"/>
    <w:p w:rsidR="009E4835" w:rsidRDefault="009E4835" w:rsidP="00C21A75">
      <w:r w:rsidRPr="00C21A75">
        <w:t xml:space="preserve">Estas cifras </w:t>
      </w:r>
      <w:r w:rsidR="00817FFC" w:rsidRPr="00C21A75">
        <w:t xml:space="preserve">se traducen en que el financiamiento de la Banca de Desarrollo como proporción del </w:t>
      </w:r>
      <w:r w:rsidRPr="00C21A75">
        <w:t>PIB primario haya representado solamente</w:t>
      </w:r>
      <w:r w:rsidR="00817FFC" w:rsidRPr="00B47F47">
        <w:t xml:space="preserve"> </w:t>
      </w:r>
      <w:r w:rsidRPr="00B47F47">
        <w:t>el 16.0% en 2012. En términos de oportunidad de negocio, si se utiliza el valor de la producción agroalimentaria, la participación de la Banca de Desarrollo fue únicamente de 12.3</w:t>
      </w:r>
      <w:r w:rsidRPr="00C21A75">
        <w:t>%.</w:t>
      </w:r>
    </w:p>
    <w:p w:rsidR="00F02CA5" w:rsidRPr="00C21A75" w:rsidRDefault="00F02CA5" w:rsidP="00C21A75"/>
    <w:tbl>
      <w:tblPr>
        <w:tblStyle w:val="Tablaconcuadrcula"/>
        <w:tblW w:w="0" w:type="auto"/>
        <w:tblLook w:val="04A0" w:firstRow="1" w:lastRow="0" w:firstColumn="1" w:lastColumn="0" w:noHBand="0" w:noVBand="1"/>
      </w:tblPr>
      <w:tblGrid>
        <w:gridCol w:w="9054"/>
      </w:tblGrid>
      <w:tr w:rsidR="00F42934" w:rsidTr="00F42934">
        <w:tc>
          <w:tcPr>
            <w:tcW w:w="9054" w:type="dxa"/>
          </w:tcPr>
          <w:p w:rsidR="00F42934" w:rsidRDefault="00F42934" w:rsidP="00F42934">
            <w:pPr>
              <w:ind w:firstLine="0"/>
              <w:jc w:val="center"/>
              <w:rPr>
                <w:b/>
              </w:rPr>
            </w:pPr>
            <w:r w:rsidRPr="00F42934">
              <w:rPr>
                <w:b/>
              </w:rPr>
              <w:t>Reactivación de la Banca de Desarrollo en el Sector Agroalimentario</w:t>
            </w:r>
          </w:p>
          <w:p w:rsidR="00F42934" w:rsidRPr="00F42934" w:rsidRDefault="00F42934" w:rsidP="00F42934">
            <w:pPr>
              <w:ind w:firstLine="0"/>
              <w:rPr>
                <w:b/>
              </w:rPr>
            </w:pPr>
          </w:p>
          <w:p w:rsidR="00F42934" w:rsidRPr="00B47F47" w:rsidRDefault="00F42934" w:rsidP="00F42934">
            <w:r>
              <w:t>Ante</w:t>
            </w:r>
            <w:r w:rsidRPr="00C21A75">
              <w:t xml:space="preserve"> </w:t>
            </w:r>
            <w:r>
              <w:t xml:space="preserve">la importancia </w:t>
            </w:r>
            <w:r w:rsidRPr="00C21A75">
              <w:t>que tiene</w:t>
            </w:r>
            <w:r>
              <w:t xml:space="preserve"> el financiamiento</w:t>
            </w:r>
            <w:r w:rsidRPr="00C21A75">
              <w:t xml:space="preserve"> como motor del crecimiento económico, el Gobierno de la República anunció en junio de 2013, la meta de alcanzar un billón de pesos de saldo de cartera directa e indirecta impulsada por</w:t>
            </w:r>
            <w:r>
              <w:t xml:space="preserve"> la Banca de Desarrollo.</w:t>
            </w:r>
          </w:p>
          <w:p w:rsidR="00F42934" w:rsidRPr="00B47F47" w:rsidRDefault="00F42934" w:rsidP="00F42934">
            <w:r w:rsidRPr="00B47F47">
              <w:t>En un esfuerzo sin precedente de las instituciones encargadas del otorgamiento de crédito en el sector primario (FIRA y Financiera Rural), el financiamiento en el sector en términos reales creció 11.1%. En particular, el saldo de Financiera Rural creció 28.2%, mientras que el d</w:t>
            </w:r>
            <w:r w:rsidR="005F58E9">
              <w:t>e FIRA colocado a través de la Banca C</w:t>
            </w:r>
            <w:r w:rsidRPr="00B47F47">
              <w:t>omercial, creció 16.4%. Gracias a las acciones tomadas, la participación del crédito como proporción del PIB primario alcanzó el 28.9% y la participación de la Banca de Desarrollo como proporción del PIB primario se ubicó en 19.0%.</w:t>
            </w:r>
          </w:p>
          <w:p w:rsidR="00F42934" w:rsidRDefault="00F42934" w:rsidP="00B7657E">
            <w:pPr>
              <w:ind w:firstLine="426"/>
            </w:pPr>
            <w:r w:rsidRPr="00B47F47">
              <w:t>Cabe señalar que los resultados obtenidos en el último año se presentaron sin modificaciones al marco legal de la Banca de Desarrollo. En este sentido, las recientes modificaciones aprobadas a la Ley Orgánica de la Financiera Nacional de Desarrollo Agropecuario, Rural, Forestal y Pesquero será un elemento fundamental para potenciar la colocación en el sector.</w:t>
            </w:r>
          </w:p>
        </w:tc>
      </w:tr>
    </w:tbl>
    <w:p w:rsidR="005F58E9" w:rsidRDefault="005F58E9" w:rsidP="0032700C"/>
    <w:p w:rsidR="009E4835" w:rsidRPr="00C21A75" w:rsidRDefault="009E4835" w:rsidP="00F42934">
      <w:pPr>
        <w:pStyle w:val="Ttulo3"/>
      </w:pPr>
      <w:r w:rsidRPr="00C21A75">
        <w:t>Financiera Rural: un reflejo de la situación en el sector</w:t>
      </w:r>
    </w:p>
    <w:p w:rsidR="009E4835" w:rsidRDefault="009E4835" w:rsidP="00B47F47">
      <w:r w:rsidRPr="00B47F47">
        <w:t>En lo que re</w:t>
      </w:r>
      <w:r w:rsidR="003748CB" w:rsidRPr="00B47F47">
        <w:t xml:space="preserve">specta a la participación de </w:t>
      </w:r>
      <w:r w:rsidRPr="00B47F47">
        <w:t>Financiera Rural en el otorgamiento de crédito en el sector, al analizar los saldos de cartera de la Banca de Desarrollo en el total del financiamiento del sector primario, las cifras revelan que han sido crecientes, pasando de 3.9% a 14.7%</w:t>
      </w:r>
      <w:r w:rsidR="003748CB" w:rsidRPr="00B47F47">
        <w:t xml:space="preserve"> entre 2003 y 2012.</w:t>
      </w:r>
      <w:r w:rsidRPr="00B47F47">
        <w:t xml:space="preserve"> Sin embargo, su participación ha sido limitada, considerando el potencial que ofrece el sector. En términos del PIB primario, el saldo de la </w:t>
      </w:r>
      <w:r w:rsidR="00980443" w:rsidRPr="00B47F47">
        <w:t>I</w:t>
      </w:r>
      <w:r w:rsidRPr="00B47F47">
        <w:t xml:space="preserve">nstitución representó solamente el 3.7% de dicha cifra </w:t>
      </w:r>
      <w:r w:rsidR="00B35B87" w:rsidRPr="00B47F47">
        <w:t>en</w:t>
      </w:r>
      <w:r w:rsidRPr="00B47F47">
        <w:t xml:space="preserve"> 2012, y en términos de la oportunidad de negocio, sobre el valor de la producción agroalimentaria, la proporción fue de únicamente 2.9%.</w:t>
      </w:r>
    </w:p>
    <w:p w:rsidR="0089514C" w:rsidRPr="00B47F47" w:rsidRDefault="0089514C" w:rsidP="00B47F47"/>
    <w:p w:rsidR="002524B4" w:rsidRPr="002524B4" w:rsidRDefault="007018D0" w:rsidP="00C21A75">
      <w:pPr>
        <w:pStyle w:val="Cuadros"/>
      </w:pPr>
      <w:r>
        <w:rPr>
          <w:rStyle w:val="CuadrosCar"/>
          <w:b/>
        </w:rPr>
        <w:t>Tabla 4</w:t>
      </w:r>
      <w:r w:rsidR="00D4647D" w:rsidRPr="00B47F47">
        <w:rPr>
          <w:rStyle w:val="CuadrosCar"/>
          <w:b/>
        </w:rPr>
        <w:t>. Financiamiento al Sector Primario</w:t>
      </w:r>
      <w:r w:rsidR="00065C05" w:rsidRPr="00B47F47">
        <w:rPr>
          <w:rStyle w:val="CuadrosCar"/>
          <w:b/>
        </w:rPr>
        <w:t>.</w:t>
      </w:r>
    </w:p>
    <w:p w:rsidR="00065C05" w:rsidRDefault="004733A5" w:rsidP="00F42934">
      <w:pPr>
        <w:ind w:firstLine="0"/>
        <w:jc w:val="center"/>
      </w:pPr>
      <w:r w:rsidRPr="004733A5">
        <w:rPr>
          <w:noProof/>
          <w:lang w:eastAsia="es-MX"/>
        </w:rPr>
        <w:drawing>
          <wp:inline distT="0" distB="0" distL="0" distR="0" wp14:anchorId="431BDAE8" wp14:editId="1C304199">
            <wp:extent cx="4626315" cy="1953846"/>
            <wp:effectExtent l="25400" t="25400" r="22225" b="279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46051" cy="1962181"/>
                    </a:xfrm>
                    <a:prstGeom prst="rect">
                      <a:avLst/>
                    </a:prstGeom>
                    <a:noFill/>
                    <a:ln>
                      <a:solidFill>
                        <a:schemeClr val="tx1"/>
                      </a:solidFill>
                    </a:ln>
                  </pic:spPr>
                </pic:pic>
              </a:graphicData>
            </a:graphic>
          </wp:inline>
        </w:drawing>
      </w:r>
    </w:p>
    <w:p w:rsidR="00065C05" w:rsidRPr="006552DF" w:rsidRDefault="00065C05" w:rsidP="006552DF">
      <w:pPr>
        <w:pStyle w:val="Fuentesyreferencias"/>
      </w:pPr>
      <w:r w:rsidRPr="006552DF">
        <w:t>M</w:t>
      </w:r>
      <w:r w:rsidR="002524B4" w:rsidRPr="006552DF">
        <w:t>i</w:t>
      </w:r>
      <w:r w:rsidRPr="006552DF">
        <w:t>llones de pesos constantes a pesos de Diciembre 2013</w:t>
      </w:r>
    </w:p>
    <w:p w:rsidR="00D4647D" w:rsidRPr="00D4647D" w:rsidRDefault="00D4647D" w:rsidP="00F42934">
      <w:pPr>
        <w:pStyle w:val="Fuentesyreferencias"/>
      </w:pPr>
      <w:r w:rsidRPr="00E07897">
        <w:t>Fuente:</w:t>
      </w:r>
      <w:r w:rsidR="00065C05" w:rsidRPr="00E07897">
        <w:t xml:space="preserve"> </w:t>
      </w:r>
      <w:r w:rsidR="00E07897" w:rsidRPr="00E07897">
        <w:t>Financiera Nacional, FIRA y Banco de México.</w:t>
      </w:r>
    </w:p>
    <w:p w:rsidR="00953950" w:rsidRPr="00C21A75" w:rsidRDefault="00953950" w:rsidP="00C21A75"/>
    <w:p w:rsidR="00FE4DD4" w:rsidRDefault="00953950" w:rsidP="00FE4DD4">
      <w:pPr>
        <w:rPr>
          <w:lang w:val="es-ES"/>
        </w:rPr>
      </w:pPr>
      <w:r w:rsidRPr="00DC2614">
        <w:rPr>
          <w:lang w:val="es-ES"/>
        </w:rPr>
        <w:t xml:space="preserve">Desde su creación en el año 2003, </w:t>
      </w:r>
      <w:r>
        <w:rPr>
          <w:lang w:val="es-ES"/>
        </w:rPr>
        <w:t>Financiera Rural</w:t>
      </w:r>
      <w:r w:rsidRPr="00DC2614">
        <w:rPr>
          <w:lang w:val="es-ES"/>
        </w:rPr>
        <w:t xml:space="preserve"> ha dispersado recursos por un total de $212,</w:t>
      </w:r>
      <w:r w:rsidRPr="007B7E4D">
        <w:rPr>
          <w:lang w:val="es-ES"/>
        </w:rPr>
        <w:t xml:space="preserve">691 millones de pesos. </w:t>
      </w:r>
      <w:r w:rsidR="00FE4DD4" w:rsidRPr="007B7E4D">
        <w:rPr>
          <w:lang w:val="es-ES"/>
        </w:rPr>
        <w:t xml:space="preserve">En particular, en el año 2013 </w:t>
      </w:r>
      <w:r w:rsidR="005F58E9">
        <w:rPr>
          <w:lang w:val="es-ES"/>
        </w:rPr>
        <w:t>se logró una colocación de $35,</w:t>
      </w:r>
      <w:r w:rsidR="00FE4DD4" w:rsidRPr="007B7E4D">
        <w:rPr>
          <w:lang w:val="es-ES"/>
        </w:rPr>
        <w:t>447 millones de pesos</w:t>
      </w:r>
      <w:r w:rsidR="005F58E9">
        <w:rPr>
          <w:lang w:val="es-ES"/>
        </w:rPr>
        <w:t>, a través de</w:t>
      </w:r>
      <w:r w:rsidR="00FE4DD4" w:rsidRPr="007B7E4D">
        <w:rPr>
          <w:lang w:val="es-ES"/>
        </w:rPr>
        <w:t xml:space="preserve"> sus 95 agencias en todo el país.</w:t>
      </w:r>
    </w:p>
    <w:p w:rsidR="005F58E9" w:rsidRDefault="005F58E9" w:rsidP="00C21A75">
      <w:pPr>
        <w:rPr>
          <w:lang w:val="es-ES"/>
        </w:rPr>
      </w:pPr>
    </w:p>
    <w:p w:rsidR="007B7E4D" w:rsidRPr="002524B4" w:rsidRDefault="007B7E4D" w:rsidP="007B7E4D">
      <w:pPr>
        <w:pStyle w:val="Graficas"/>
      </w:pPr>
      <w:r>
        <w:rPr>
          <w:lang w:val="es-ES"/>
        </w:rPr>
        <w:t>G</w:t>
      </w:r>
      <w:r>
        <w:rPr>
          <w:rStyle w:val="CuadrosCar"/>
          <w:b/>
        </w:rPr>
        <w:t>ráfica 15. Ubicación de las Coordinaciones Regionales y Agencias.</w:t>
      </w:r>
    </w:p>
    <w:p w:rsidR="00E86DA9" w:rsidRDefault="00EC7870" w:rsidP="00D86F8D">
      <w:pPr>
        <w:jc w:val="center"/>
        <w:rPr>
          <w:lang w:val="es-ES"/>
        </w:rPr>
      </w:pPr>
      <w:r>
        <w:rPr>
          <w:noProof/>
          <w:lang w:eastAsia="es-MX"/>
        </w:rPr>
        <w:lastRenderedPageBreak/>
        <w:drawing>
          <wp:inline distT="0" distB="0" distL="0" distR="0" wp14:anchorId="75CCCDF9" wp14:editId="4D06AD1C">
            <wp:extent cx="4763135" cy="3371215"/>
            <wp:effectExtent l="0" t="0" r="0" b="635"/>
            <wp:docPr id="1" name="Imagen 3" descr="Agenci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gencias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3135" cy="3371215"/>
                    </a:xfrm>
                    <a:prstGeom prst="rect">
                      <a:avLst/>
                    </a:prstGeom>
                    <a:noFill/>
                    <a:ln>
                      <a:noFill/>
                    </a:ln>
                  </pic:spPr>
                </pic:pic>
              </a:graphicData>
            </a:graphic>
          </wp:inline>
        </w:drawing>
      </w:r>
    </w:p>
    <w:p w:rsidR="00E86DA9" w:rsidRDefault="00E86DA9" w:rsidP="00C21A75">
      <w:pPr>
        <w:rPr>
          <w:lang w:val="es-ES"/>
        </w:rPr>
      </w:pPr>
    </w:p>
    <w:p w:rsidR="00F443D9" w:rsidRDefault="00F443D9" w:rsidP="00F443D9">
      <w:pPr>
        <w:rPr>
          <w:rStyle w:val="CuadrosCar"/>
          <w:b w:val="0"/>
        </w:rPr>
      </w:pPr>
    </w:p>
    <w:p w:rsidR="00953950" w:rsidRPr="002524B4" w:rsidRDefault="00953950" w:rsidP="00F42934">
      <w:pPr>
        <w:pStyle w:val="Graficas"/>
      </w:pPr>
      <w:r>
        <w:rPr>
          <w:rStyle w:val="CuadrosCar"/>
          <w:b/>
        </w:rPr>
        <w:t>Gr</w:t>
      </w:r>
      <w:r w:rsidR="007B7E4D">
        <w:rPr>
          <w:rStyle w:val="CuadrosCar"/>
          <w:b/>
        </w:rPr>
        <w:t>áfica 16</w:t>
      </w:r>
      <w:r w:rsidR="00D86F8D">
        <w:rPr>
          <w:rStyle w:val="CuadrosCar"/>
          <w:b/>
        </w:rPr>
        <w:t>. Colocación 2003-2013.</w:t>
      </w:r>
    </w:p>
    <w:p w:rsidR="00953950" w:rsidRPr="00953950" w:rsidRDefault="007B7E4D" w:rsidP="00D86F8D">
      <w:pPr>
        <w:jc w:val="center"/>
      </w:pPr>
      <w:r>
        <w:rPr>
          <w:noProof/>
          <w:lang w:eastAsia="es-MX"/>
        </w:rPr>
        <w:drawing>
          <wp:inline distT="0" distB="0" distL="0" distR="0" wp14:anchorId="142BFB7E" wp14:editId="03DE70ED">
            <wp:extent cx="4526280" cy="2498756"/>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1">
                      <a:extLst>
                        <a:ext uri="{28A0092B-C50C-407E-A947-70E740481C1C}">
                          <a14:useLocalDpi xmlns:a14="http://schemas.microsoft.com/office/drawing/2010/main" val="0"/>
                        </a:ext>
                      </a:extLst>
                    </a:blip>
                    <a:srcRect l="975" t="1747" r="1556" b="1778"/>
                    <a:stretch/>
                  </pic:blipFill>
                  <pic:spPr bwMode="auto">
                    <a:xfrm>
                      <a:off x="0" y="0"/>
                      <a:ext cx="4535572" cy="2503886"/>
                    </a:xfrm>
                    <a:prstGeom prst="rect">
                      <a:avLst/>
                    </a:prstGeom>
                    <a:noFill/>
                    <a:ln>
                      <a:noFill/>
                    </a:ln>
                    <a:extLst>
                      <a:ext uri="{53640926-AAD7-44D8-BBD7-CCE9431645EC}">
                        <a14:shadowObscured xmlns:a14="http://schemas.microsoft.com/office/drawing/2010/main"/>
                      </a:ext>
                    </a:extLst>
                  </pic:spPr>
                </pic:pic>
              </a:graphicData>
            </a:graphic>
          </wp:inline>
        </w:drawing>
      </w:r>
    </w:p>
    <w:p w:rsidR="00953950" w:rsidRPr="00D4647D" w:rsidRDefault="00953950" w:rsidP="00F42934">
      <w:pPr>
        <w:pStyle w:val="Fuentesyreferencias"/>
      </w:pPr>
      <w:r w:rsidRPr="00E07897">
        <w:t xml:space="preserve">Fuente: </w:t>
      </w:r>
      <w:r>
        <w:t>Financiera Nacional</w:t>
      </w:r>
      <w:r w:rsidRPr="00E07897">
        <w:t>.</w:t>
      </w:r>
    </w:p>
    <w:p w:rsidR="00FE4DD4" w:rsidRDefault="00FE4DD4" w:rsidP="00C21A75"/>
    <w:p w:rsidR="009E4835" w:rsidRPr="00C21A75" w:rsidRDefault="00B35B87" w:rsidP="00C21A75">
      <w:r w:rsidRPr="00C21A75">
        <w:t xml:space="preserve">Los indicadores de cartera </w:t>
      </w:r>
      <w:r w:rsidR="00E86DA9">
        <w:t>históricos</w:t>
      </w:r>
      <w:r w:rsidR="009E4835" w:rsidRPr="00C21A75">
        <w:t xml:space="preserve"> </w:t>
      </w:r>
      <w:r w:rsidRPr="00C21A75">
        <w:t xml:space="preserve">de </w:t>
      </w:r>
      <w:r w:rsidR="009E4835" w:rsidRPr="00C21A75">
        <w:t xml:space="preserve">Financiera Rural, reflejan en buena medida, la situación prevaleciente en el sector financiero en </w:t>
      </w:r>
      <w:r w:rsidR="00F42934">
        <w:t>general y en el campo mexicano.</w:t>
      </w:r>
    </w:p>
    <w:p w:rsidR="009E4835" w:rsidRPr="00C21A75" w:rsidRDefault="009E4835" w:rsidP="00C21A75">
      <w:r w:rsidRPr="00C21A75">
        <w:t>En lo que se refiere a las similitudes con el sector financiero, co</w:t>
      </w:r>
      <w:r w:rsidR="00E86DA9" w:rsidRPr="00C21A75">
        <w:t xml:space="preserve">mo ocurre con las entidades de </w:t>
      </w:r>
      <w:r w:rsidR="00E86DA9">
        <w:t>B</w:t>
      </w:r>
      <w:r w:rsidR="003748CB">
        <w:t>anca</w:t>
      </w:r>
      <w:r w:rsidR="005F58E9">
        <w:t xml:space="preserve"> C</w:t>
      </w:r>
      <w:r w:rsidRPr="00C21A75">
        <w:t>omercial y Banca de Desarrollo, su operación perm</w:t>
      </w:r>
      <w:r w:rsidR="00980443" w:rsidRPr="00C21A75">
        <w:t xml:space="preserve">itió a la Institución mantener </w:t>
      </w:r>
      <w:r w:rsidR="00E86DA9" w:rsidRPr="00C21A75">
        <w:t>solvencia y solidez crediticia</w:t>
      </w:r>
      <w:r w:rsidR="00E86DA9">
        <w:t>. Por ejemplo, en el año 2013 se observaron</w:t>
      </w:r>
      <w:r w:rsidR="00E86DA9" w:rsidRPr="00C21A75">
        <w:t xml:space="preserve"> </w:t>
      </w:r>
      <w:r w:rsidRPr="00C21A75">
        <w:t>los siguientes indicadores:</w:t>
      </w:r>
    </w:p>
    <w:p w:rsidR="009E4835" w:rsidRPr="00F42934" w:rsidRDefault="009E4835" w:rsidP="00F42934">
      <w:pPr>
        <w:pStyle w:val="Prrafodelista"/>
      </w:pPr>
      <w:r w:rsidRPr="00F42934">
        <w:t>El índice de morosidad representó 3.6%.</w:t>
      </w:r>
    </w:p>
    <w:p w:rsidR="009E4835" w:rsidRPr="00B47F47" w:rsidRDefault="009E4835" w:rsidP="00F42934">
      <w:pPr>
        <w:pStyle w:val="Prrafodelista"/>
      </w:pPr>
      <w:r w:rsidRPr="00C21A75">
        <w:t>La cobertura de la cartera vencida fue superior a 100%.</w:t>
      </w:r>
    </w:p>
    <w:p w:rsidR="001806F7" w:rsidRPr="00B47F47" w:rsidRDefault="009E4835" w:rsidP="00F42934">
      <w:pPr>
        <w:pStyle w:val="Prrafodelista"/>
      </w:pPr>
      <w:r w:rsidRPr="00B47F47">
        <w:t>El nivel de gasto de la institución, respecto a los activos totales, se mantuvo en 4%.</w:t>
      </w:r>
    </w:p>
    <w:p w:rsidR="009E4835" w:rsidRPr="00B47F47" w:rsidRDefault="009E4835" w:rsidP="00F42934">
      <w:pPr>
        <w:pStyle w:val="Prrafodelista"/>
      </w:pPr>
      <w:r w:rsidRPr="00B47F47">
        <w:t xml:space="preserve">La pérdida esperada y la pérdida esperada </w:t>
      </w:r>
      <w:r w:rsidR="001806F7" w:rsidRPr="00B47F47">
        <w:t xml:space="preserve">ponderada fueron de 2.5% y 2.2% </w:t>
      </w:r>
      <w:r w:rsidRPr="00B47F47">
        <w:t>respectivamente.</w:t>
      </w:r>
    </w:p>
    <w:p w:rsidR="009E4835" w:rsidRPr="00C21A75" w:rsidRDefault="009E4835" w:rsidP="00B47F47">
      <w:r w:rsidRPr="00B47F47">
        <w:lastRenderedPageBreak/>
        <w:t>Como referencia, cabe señalar qu</w:t>
      </w:r>
      <w:r w:rsidR="00734943" w:rsidRPr="00B47F47">
        <w:t xml:space="preserve">e el índice de morosidad de la </w:t>
      </w:r>
      <w:r w:rsidR="00734943">
        <w:t>Banca C</w:t>
      </w:r>
      <w:r w:rsidRPr="009E4835">
        <w:t>omercial</w:t>
      </w:r>
      <w:r w:rsidRPr="00C21A75">
        <w:t xml:space="preserve"> para el sector primario a diciembre de 2013 se ubicó en 3.7% y el de las SOFOMES, fue de 6.8%.</w:t>
      </w:r>
    </w:p>
    <w:p w:rsidR="005F58E9" w:rsidRPr="00A44C68" w:rsidRDefault="005F58E9" w:rsidP="00BD7060"/>
    <w:p w:rsidR="009E4835" w:rsidRPr="00C21A75" w:rsidRDefault="009E4835" w:rsidP="00B47F47">
      <w:r w:rsidRPr="00C21A75">
        <w:t xml:space="preserve">Gracias a estos indicadores, los datos financieros más relevantes </w:t>
      </w:r>
      <w:r w:rsidR="001806F7" w:rsidRPr="00C21A75">
        <w:t xml:space="preserve">al cierre de 2013 </w:t>
      </w:r>
      <w:r w:rsidR="00E86DA9">
        <w:t>fueron</w:t>
      </w:r>
      <w:r w:rsidRPr="00C21A75">
        <w:t>:</w:t>
      </w:r>
    </w:p>
    <w:p w:rsidR="009E4835" w:rsidRPr="00C21A75" w:rsidRDefault="009E4835" w:rsidP="00F42934">
      <w:pPr>
        <w:pStyle w:val="Prrafodelista"/>
      </w:pPr>
      <w:r w:rsidRPr="00C21A75">
        <w:t xml:space="preserve">El saldo de cartera ascendió a </w:t>
      </w:r>
      <w:r w:rsidR="00AE7527">
        <w:t>$</w:t>
      </w:r>
      <w:r w:rsidRPr="00C21A75">
        <w:t>26,421 millones de pesos.</w:t>
      </w:r>
    </w:p>
    <w:p w:rsidR="009E4835" w:rsidRPr="00C21A75" w:rsidRDefault="009E4835" w:rsidP="00F42934">
      <w:pPr>
        <w:pStyle w:val="Prrafodelista"/>
      </w:pPr>
      <w:r w:rsidRPr="00C21A75">
        <w:t xml:space="preserve">La colocación ascendió a </w:t>
      </w:r>
      <w:r w:rsidR="00D03520">
        <w:t>$</w:t>
      </w:r>
      <w:r w:rsidRPr="00C21A75">
        <w:t>35,447 millones de pesos.</w:t>
      </w:r>
    </w:p>
    <w:p w:rsidR="009E4835" w:rsidRPr="00B47F47" w:rsidRDefault="001806F7" w:rsidP="00F42934">
      <w:pPr>
        <w:pStyle w:val="Prrafodelista"/>
      </w:pPr>
      <w:r w:rsidRPr="00B47F47">
        <w:t>La utilidad neta</w:t>
      </w:r>
      <w:r w:rsidR="009E4835" w:rsidRPr="00B47F47">
        <w:t xml:space="preserve"> cerró en </w:t>
      </w:r>
      <w:r w:rsidR="00D03520">
        <w:t>$</w:t>
      </w:r>
      <w:r w:rsidR="009E4835" w:rsidRPr="00B47F47">
        <w:t>977 millones de pesos.</w:t>
      </w:r>
    </w:p>
    <w:p w:rsidR="009E4835" w:rsidRPr="00B47F47" w:rsidRDefault="009E4835" w:rsidP="00F42934">
      <w:pPr>
        <w:pStyle w:val="Prrafodelista"/>
      </w:pPr>
      <w:r w:rsidRPr="00B47F47">
        <w:t>El patrimonio prestable</w:t>
      </w:r>
      <w:r w:rsidR="001806F7" w:rsidRPr="00B47F47">
        <w:t xml:space="preserve"> </w:t>
      </w:r>
      <w:r w:rsidRPr="00B47F47">
        <w:t xml:space="preserve">fue de </w:t>
      </w:r>
      <w:r w:rsidR="00D03520">
        <w:t>$</w:t>
      </w:r>
      <w:r w:rsidRPr="00B47F47">
        <w:t>24,879 millones de pesos.</w:t>
      </w:r>
    </w:p>
    <w:p w:rsidR="009E4835" w:rsidRPr="00C21A75" w:rsidRDefault="009E4835" w:rsidP="00B47F47">
      <w:r w:rsidRPr="00B47F47">
        <w:t xml:space="preserve">Sin embargo, como se señala en el PRONAFIDE, al enfocarse la Financiera Rural en mantener y preservar su patrimonio, quedó en segundo término el apoyar a los sectores productivos que carecen de acceso al crédito. </w:t>
      </w:r>
      <w:r w:rsidR="00E86DA9">
        <w:t>Desde su creación, s</w:t>
      </w:r>
      <w:r w:rsidRPr="009E4835">
        <w:t>e obse</w:t>
      </w:r>
      <w:r w:rsidR="00E86DA9">
        <w:t>rvó</w:t>
      </w:r>
      <w:r w:rsidRPr="00C21A75">
        <w:t xml:space="preserve"> un nivel importante de concentración tanto en monto como a nivel regional. </w:t>
      </w:r>
      <w:r w:rsidR="00E86DA9">
        <w:t>Por ejemplo, para 2013 a</w:t>
      </w:r>
      <w:r w:rsidRPr="009E4835">
        <w:t>lrededor</w:t>
      </w:r>
      <w:r w:rsidRPr="00C21A75">
        <w:t xml:space="preserve"> del 50% de los clientes representó el 35% de la colocación crediticia, presentándose un fenómeno similar al del “campo bipolar”.</w:t>
      </w:r>
    </w:p>
    <w:p w:rsidR="009E4835" w:rsidRPr="00C21A75" w:rsidRDefault="009E4835" w:rsidP="00B47F47">
      <w:r w:rsidRPr="00C21A75">
        <w:t>De acuerdo a lo establecido en su Ley Orgánica, Financiera Rural otorgó crédito a través de dos modalidades: el crédito directo y el crédito a través de intermediarios financieros.</w:t>
      </w:r>
    </w:p>
    <w:p w:rsidR="00B7657E" w:rsidRPr="00B7657E" w:rsidRDefault="00B7657E" w:rsidP="00B7657E">
      <w:r w:rsidRPr="00B7657E">
        <w:t>Si se considera como referencia el número total de Unidades Económicas Rurales (UER), o incluso solamente las UER´s en transició</w:t>
      </w:r>
      <w:r w:rsidR="00567864">
        <w:t xml:space="preserve">n o con actividad empresarial, </w:t>
      </w:r>
      <w:r w:rsidRPr="00B7657E">
        <w:t>los clientes registrados por la Institución fueron una proporción muy pequeña. Sin embargo, es importante considerar que a través de la figura de crédito directo se otorga financiamiento a organizaciones (comunidades, ejidos y sociedades de producción rural), lo que multiplica la cobertura respecto al universo total de UER´s.</w:t>
      </w:r>
    </w:p>
    <w:p w:rsidR="009E4835" w:rsidRDefault="009E4835" w:rsidP="00B47F47">
      <w:r w:rsidRPr="00C21A75">
        <w:t xml:space="preserve">La cartera de crédito directa también refleja desarrollo desigual entre las regiones del país, ya que la región sur y la región sureste únicamente </w:t>
      </w:r>
      <w:r w:rsidRPr="009E4835">
        <w:t>r</w:t>
      </w:r>
      <w:r w:rsidR="00E86DA9">
        <w:t>epresentaron</w:t>
      </w:r>
      <w:r w:rsidRPr="00C21A75">
        <w:t xml:space="preserve"> el 25.9% de la colocación directa.</w:t>
      </w:r>
    </w:p>
    <w:p w:rsidR="00FE4DD4" w:rsidRPr="006552DF" w:rsidRDefault="00FE4DD4" w:rsidP="006552DF"/>
    <w:p w:rsidR="009E4835" w:rsidRPr="001806F7" w:rsidRDefault="007018D0" w:rsidP="00F42934">
      <w:pPr>
        <w:pStyle w:val="Cuadros"/>
      </w:pPr>
      <w:r>
        <w:t>Tabla 5</w:t>
      </w:r>
      <w:r w:rsidR="001806F7" w:rsidRPr="001806F7">
        <w:t>. Colocación y Clientes Directos por Coordinación Regional, 2013.</w:t>
      </w:r>
    </w:p>
    <w:p w:rsidR="00D4647D" w:rsidRPr="00C21A75" w:rsidRDefault="003E41AA" w:rsidP="00F42934">
      <w:pPr>
        <w:ind w:firstLine="0"/>
        <w:jc w:val="center"/>
      </w:pPr>
      <w:r w:rsidRPr="003E41AA">
        <w:rPr>
          <w:noProof/>
          <w:lang w:eastAsia="es-MX"/>
        </w:rPr>
        <w:drawing>
          <wp:inline distT="0" distB="0" distL="0" distR="0" wp14:anchorId="3B1FAA6E" wp14:editId="48DA0990">
            <wp:extent cx="2451059" cy="1036024"/>
            <wp:effectExtent l="25400" t="25400" r="13335" b="31115"/>
            <wp:docPr id="3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srcRect/>
                    <a:stretch>
                      <a:fillRect/>
                    </a:stretch>
                  </pic:blipFill>
                  <pic:spPr bwMode="auto">
                    <a:xfrm>
                      <a:off x="0" y="0"/>
                      <a:ext cx="2455200" cy="1037774"/>
                    </a:xfrm>
                    <a:prstGeom prst="rect">
                      <a:avLst/>
                    </a:prstGeom>
                    <a:noFill/>
                    <a:ln w="9525">
                      <a:solidFill>
                        <a:schemeClr val="tx1"/>
                      </a:solidFill>
                      <a:miter lim="800000"/>
                      <a:headEnd/>
                      <a:tailEnd/>
                    </a:ln>
                  </pic:spPr>
                </pic:pic>
              </a:graphicData>
            </a:graphic>
          </wp:inline>
        </w:drawing>
      </w:r>
    </w:p>
    <w:p w:rsidR="00B7657E" w:rsidRDefault="00B7657E" w:rsidP="00B7657E">
      <w:pPr>
        <w:pStyle w:val="Fuentesyreferencias"/>
        <w:rPr>
          <w:lang w:val="es-ES"/>
        </w:rPr>
      </w:pPr>
      <w:r w:rsidRPr="00B7657E">
        <w:t>Nota. El número de clientes directos no considera los productores atendidos a través de Organizaciones</w:t>
      </w:r>
      <w:r w:rsidRPr="00B7657E">
        <w:rPr>
          <w:lang w:val="es-ES"/>
        </w:rPr>
        <w:t>.</w:t>
      </w:r>
    </w:p>
    <w:p w:rsidR="009E4835" w:rsidRPr="00D4647D" w:rsidRDefault="00B7657E" w:rsidP="00F42934">
      <w:pPr>
        <w:pStyle w:val="Fuentesyreferencias"/>
      </w:pPr>
      <w:r>
        <w:t>F</w:t>
      </w:r>
      <w:r w:rsidR="001806F7" w:rsidRPr="00D4647D">
        <w:t>uente: Financiera Nacional</w:t>
      </w:r>
      <w:r w:rsidR="00D4647D" w:rsidRPr="00D4647D">
        <w:t>, 2013.</w:t>
      </w:r>
    </w:p>
    <w:p w:rsidR="002524B4" w:rsidRPr="006552DF" w:rsidRDefault="002524B4" w:rsidP="006552DF"/>
    <w:p w:rsidR="009E4835" w:rsidRPr="00B47F47" w:rsidRDefault="009E4835" w:rsidP="00C21A75">
      <w:r w:rsidRPr="00C21A75">
        <w:t>En términos de la colocación por tipo de actividad, los datos reflejan que el sector agrícola presenta la mayor participación en el total, con 45.6%, mientras que la ganadería representa el 11.0%. Es d</w:t>
      </w:r>
      <w:r w:rsidR="00980443" w:rsidRPr="00C21A75">
        <w:t>e destacar que si no es idéntica</w:t>
      </w:r>
      <w:r w:rsidRPr="00B47F47">
        <w:t xml:space="preserve"> a la proporción que guardan respecto al PIB primario, ello se debe al hecho de que Financiera Rural participó en el otorgamiento de créditos </w:t>
      </w:r>
      <w:r w:rsidR="009E310A" w:rsidRPr="00B47F47">
        <w:t>a otras actividades que se desarrollan en</w:t>
      </w:r>
      <w:r w:rsidRPr="00B47F47">
        <w:t xml:space="preserve"> localidades de hasta 50 mil habitantes.</w:t>
      </w:r>
    </w:p>
    <w:p w:rsidR="00BC369C" w:rsidRPr="006552DF" w:rsidRDefault="00BC369C" w:rsidP="006552DF"/>
    <w:p w:rsidR="009E310A" w:rsidRDefault="007018D0" w:rsidP="00C21A75">
      <w:pPr>
        <w:pStyle w:val="Cuadros"/>
      </w:pPr>
      <w:r>
        <w:t>Tabla 6</w:t>
      </w:r>
      <w:r w:rsidR="00D4647D">
        <w:t xml:space="preserve">. </w:t>
      </w:r>
      <w:r w:rsidR="009E4835" w:rsidRPr="009E310A">
        <w:t>Colocación Directa por Tipo de Actividad 2013</w:t>
      </w:r>
      <w:r w:rsidR="009E310A" w:rsidRPr="009E310A">
        <w:t xml:space="preserve"> Cifras en millones de pesos</w:t>
      </w:r>
      <w:r w:rsidR="002524B4">
        <w:t>.</w:t>
      </w:r>
    </w:p>
    <w:p w:rsidR="00D4647D" w:rsidRPr="00172FFC" w:rsidRDefault="003E41AA" w:rsidP="00F42934">
      <w:pPr>
        <w:ind w:firstLine="0"/>
        <w:jc w:val="center"/>
      </w:pPr>
      <w:r w:rsidRPr="003E41AA">
        <w:rPr>
          <w:noProof/>
          <w:lang w:eastAsia="es-MX"/>
        </w:rPr>
        <w:drawing>
          <wp:inline distT="0" distB="0" distL="0" distR="0" wp14:anchorId="6FADBDB7" wp14:editId="7753FE9A">
            <wp:extent cx="1382769" cy="1606752"/>
            <wp:effectExtent l="19050" t="0" r="7881"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srcRect/>
                    <a:stretch>
                      <a:fillRect/>
                    </a:stretch>
                  </pic:blipFill>
                  <pic:spPr bwMode="auto">
                    <a:xfrm>
                      <a:off x="0" y="0"/>
                      <a:ext cx="1383720" cy="1607857"/>
                    </a:xfrm>
                    <a:prstGeom prst="rect">
                      <a:avLst/>
                    </a:prstGeom>
                    <a:noFill/>
                    <a:ln w="9525">
                      <a:noFill/>
                      <a:miter lim="800000"/>
                      <a:headEnd/>
                      <a:tailEnd/>
                    </a:ln>
                  </pic:spPr>
                </pic:pic>
              </a:graphicData>
            </a:graphic>
          </wp:inline>
        </w:drawing>
      </w:r>
    </w:p>
    <w:p w:rsidR="00D4647D" w:rsidRPr="00F42934" w:rsidRDefault="00D4647D" w:rsidP="00F42934">
      <w:pPr>
        <w:pStyle w:val="Fuentesyreferencias"/>
      </w:pPr>
      <w:r w:rsidRPr="00F42934">
        <w:t>Fuente: Financiera Nacional, 2013.</w:t>
      </w:r>
    </w:p>
    <w:p w:rsidR="006B03F2" w:rsidRDefault="006B03F2" w:rsidP="00B47F47"/>
    <w:p w:rsidR="009E4835" w:rsidRPr="00B47F47" w:rsidRDefault="009E310A" w:rsidP="00B47F47">
      <w:r w:rsidRPr="00C21A75">
        <w:lastRenderedPageBreak/>
        <w:t xml:space="preserve">Los productos crediticios de corto plazo representan el 63.7% de la colocación total e incluyen avíos, reportos y prendarios. </w:t>
      </w:r>
      <w:r w:rsidR="009E4835" w:rsidRPr="00C21A75">
        <w:t>Sin embargo, cabe destacar el porcentaje que representan los créditos simples en el total (27.4%), con las garantías rea</w:t>
      </w:r>
      <w:r w:rsidRPr="00B47F47">
        <w:t>les que implica</w:t>
      </w:r>
      <w:r w:rsidR="00A52108">
        <w:t>n</w:t>
      </w:r>
      <w:r w:rsidRPr="00B47F47">
        <w:t xml:space="preserve"> su otorgamiento.</w:t>
      </w:r>
      <w:r w:rsidR="009E4835" w:rsidRPr="00B47F47">
        <w:t xml:space="preserve"> </w:t>
      </w:r>
      <w:r w:rsidRPr="00B47F47">
        <w:t xml:space="preserve">La </w:t>
      </w:r>
      <w:r w:rsidR="009E4835" w:rsidRPr="00B47F47">
        <w:t>participación de los créditos refaccionarios es únicamente de un dígito (9.0%), lo que refleja en cierta medida el bajo nivel de capitalización que presenta el sector.</w:t>
      </w:r>
    </w:p>
    <w:p w:rsidR="00BC369C" w:rsidRPr="00B47F47" w:rsidRDefault="00BC369C" w:rsidP="00B47F47"/>
    <w:p w:rsidR="00F42934" w:rsidRDefault="007018D0" w:rsidP="00F42934">
      <w:pPr>
        <w:pStyle w:val="Cuadros"/>
      </w:pPr>
      <w:r>
        <w:t>Tabla 7</w:t>
      </w:r>
      <w:r w:rsidR="009E310A" w:rsidRPr="00D4647D">
        <w:t xml:space="preserve">. </w:t>
      </w:r>
      <w:r w:rsidR="009E4835" w:rsidRPr="00D4647D">
        <w:t>Colocación Directa por</w:t>
      </w:r>
      <w:r w:rsidR="009E310A" w:rsidRPr="00D4647D">
        <w:t xml:space="preserve"> </w:t>
      </w:r>
      <w:r w:rsidR="009E4835" w:rsidRPr="00D4647D">
        <w:t>Tipo de Crédito 2013</w:t>
      </w:r>
      <w:r w:rsidR="00E07897">
        <w:t>.</w:t>
      </w:r>
    </w:p>
    <w:p w:rsidR="009E310A" w:rsidRDefault="009E310A" w:rsidP="00F42934">
      <w:pPr>
        <w:pStyle w:val="Cuadros"/>
      </w:pPr>
      <w:r w:rsidRPr="00D4647D">
        <w:t>Cifras en millones de pesos</w:t>
      </w:r>
      <w:r w:rsidR="002524B4">
        <w:t>.</w:t>
      </w:r>
    </w:p>
    <w:p w:rsidR="00D4647D" w:rsidRPr="006B03F2" w:rsidRDefault="00345FDB" w:rsidP="006B03F2">
      <w:pPr>
        <w:ind w:firstLine="0"/>
        <w:jc w:val="center"/>
      </w:pPr>
      <w:r w:rsidRPr="00345FDB">
        <w:rPr>
          <w:noProof/>
          <w:lang w:eastAsia="es-MX"/>
        </w:rPr>
        <w:drawing>
          <wp:inline distT="0" distB="0" distL="0" distR="0" wp14:anchorId="6C5B5427" wp14:editId="06B83FE7">
            <wp:extent cx="1464910" cy="996218"/>
            <wp:effectExtent l="25400" t="25400" r="34290" b="20320"/>
            <wp:docPr id="4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srcRect/>
                    <a:stretch>
                      <a:fillRect/>
                    </a:stretch>
                  </pic:blipFill>
                  <pic:spPr bwMode="auto">
                    <a:xfrm>
                      <a:off x="0" y="0"/>
                      <a:ext cx="1465812" cy="996832"/>
                    </a:xfrm>
                    <a:prstGeom prst="rect">
                      <a:avLst/>
                    </a:prstGeom>
                    <a:noFill/>
                    <a:ln w="9525">
                      <a:solidFill>
                        <a:schemeClr val="tx1"/>
                      </a:solidFill>
                      <a:miter lim="800000"/>
                      <a:headEnd/>
                      <a:tailEnd/>
                    </a:ln>
                  </pic:spPr>
                </pic:pic>
              </a:graphicData>
            </a:graphic>
          </wp:inline>
        </w:drawing>
      </w:r>
    </w:p>
    <w:p w:rsidR="00D4647D" w:rsidRDefault="00D4647D" w:rsidP="00230ECC">
      <w:pPr>
        <w:pStyle w:val="Fuentesyreferencias"/>
        <w:rPr>
          <w:b/>
        </w:rPr>
      </w:pPr>
      <w:r w:rsidRPr="00D4647D">
        <w:t>Fuente: Financiera Nacional, 2013.</w:t>
      </w:r>
    </w:p>
    <w:p w:rsidR="00D4647D" w:rsidRPr="00C21A75" w:rsidRDefault="00D4647D" w:rsidP="00C21A75"/>
    <w:p w:rsidR="002524B4" w:rsidRDefault="009E4835" w:rsidP="00BD7060">
      <w:r w:rsidRPr="00C21A75">
        <w:t>Es importante destacar que la colocación directa de la Institución se concentró en el ciclo Otoño-Invierno, el cual presenta, para su siembra y cosecha, mayores niveles de tecnificación respecto al ciclo Primavera-Verano, el cual es principalmente de temporal.</w:t>
      </w:r>
    </w:p>
    <w:p w:rsidR="00FE4DD4" w:rsidRPr="00BD7060" w:rsidRDefault="00FE4DD4" w:rsidP="00BD7060"/>
    <w:p w:rsidR="000C65C9" w:rsidRPr="000C65C9" w:rsidRDefault="007B7E4D" w:rsidP="00230ECC">
      <w:pPr>
        <w:pStyle w:val="Graficas"/>
      </w:pPr>
      <w:r>
        <w:rPr>
          <w:lang w:val="es-ES"/>
        </w:rPr>
        <w:t>Gráfica 17</w:t>
      </w:r>
      <w:r w:rsidR="007018D0">
        <w:rPr>
          <w:lang w:val="es-ES"/>
        </w:rPr>
        <w:t xml:space="preserve">. </w:t>
      </w:r>
      <w:r w:rsidR="000C65C9" w:rsidRPr="000C65C9">
        <w:t>Colocación Directa Mensual, 2013</w:t>
      </w:r>
      <w:r w:rsidR="00664C6B">
        <w:t>.</w:t>
      </w:r>
    </w:p>
    <w:p w:rsidR="000C65C9" w:rsidRDefault="002E7AA2" w:rsidP="00172FFC">
      <w:pPr>
        <w:ind w:firstLine="0"/>
        <w:jc w:val="center"/>
        <w:rPr>
          <w:lang w:eastAsia="es-MX"/>
        </w:rPr>
      </w:pPr>
      <w:r>
        <w:rPr>
          <w:noProof/>
          <w:lang w:eastAsia="es-MX"/>
        </w:rPr>
        <w:drawing>
          <wp:inline distT="0" distB="0" distL="0" distR="0" wp14:anchorId="65782B66" wp14:editId="575415BE">
            <wp:extent cx="3160625" cy="195643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5">
                      <a:extLst>
                        <a:ext uri="{28A0092B-C50C-407E-A947-70E740481C1C}">
                          <a14:useLocalDpi xmlns:a14="http://schemas.microsoft.com/office/drawing/2010/main" val="0"/>
                        </a:ext>
                      </a:extLst>
                    </a:blip>
                    <a:srcRect l="1824" t="2049" r="1813" b="4073"/>
                    <a:stretch/>
                  </pic:blipFill>
                  <pic:spPr bwMode="auto">
                    <a:xfrm>
                      <a:off x="0" y="0"/>
                      <a:ext cx="3161817" cy="1957173"/>
                    </a:xfrm>
                    <a:prstGeom prst="rect">
                      <a:avLst/>
                    </a:prstGeom>
                    <a:noFill/>
                    <a:ln>
                      <a:noFill/>
                    </a:ln>
                    <a:extLst>
                      <a:ext uri="{53640926-AAD7-44D8-BBD7-CCE9431645EC}">
                        <a14:shadowObscured xmlns:a14="http://schemas.microsoft.com/office/drawing/2010/main"/>
                      </a:ext>
                    </a:extLst>
                  </pic:spPr>
                </pic:pic>
              </a:graphicData>
            </a:graphic>
          </wp:inline>
        </w:drawing>
      </w:r>
    </w:p>
    <w:p w:rsidR="000C65C9" w:rsidRDefault="000C65C9" w:rsidP="00230ECC">
      <w:pPr>
        <w:pStyle w:val="Fuentesyreferencias"/>
        <w:rPr>
          <w:b/>
        </w:rPr>
      </w:pPr>
      <w:r w:rsidRPr="00D4647D">
        <w:t>Fuente: Financiera Nacional, 2013.</w:t>
      </w:r>
    </w:p>
    <w:p w:rsidR="00230ECC" w:rsidRDefault="00230ECC" w:rsidP="00C21A75"/>
    <w:p w:rsidR="003A0D1F" w:rsidRPr="00C21A75" w:rsidRDefault="003A0D1F" w:rsidP="00C21A75">
      <w:r w:rsidRPr="00C21A75">
        <w:t>Esta situación contrasta con la dinámica de la producción del país donde el 62% del valor de producción se genera en el ciclo Primavera-Verano y el 38% restante en el ciclo Otoño-Invierno.</w:t>
      </w:r>
    </w:p>
    <w:p w:rsidR="00953950" w:rsidRDefault="00953950" w:rsidP="00C21A75"/>
    <w:p w:rsidR="007A020B" w:rsidRDefault="007018D0" w:rsidP="00C21A75">
      <w:pPr>
        <w:pStyle w:val="Cuadros"/>
      </w:pPr>
      <w:r>
        <w:t>Tabla 8</w:t>
      </w:r>
      <w:r w:rsidR="007A020B" w:rsidRPr="00166BD1">
        <w:t xml:space="preserve">. </w:t>
      </w:r>
      <w:r w:rsidR="007A020B">
        <w:t>Valor de Producción y Superficie por Ciclo Agrícola</w:t>
      </w:r>
      <w:r w:rsidR="002524B4">
        <w:t>.</w:t>
      </w:r>
    </w:p>
    <w:tbl>
      <w:tblPr>
        <w:tblW w:w="7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84"/>
        <w:gridCol w:w="1562"/>
        <w:gridCol w:w="992"/>
        <w:gridCol w:w="1701"/>
        <w:gridCol w:w="1275"/>
      </w:tblGrid>
      <w:tr w:rsidR="00230ECC" w:rsidRPr="00230ECC" w:rsidTr="00230ECC">
        <w:trPr>
          <w:trHeight w:val="900"/>
          <w:jc w:val="center"/>
        </w:trPr>
        <w:tc>
          <w:tcPr>
            <w:tcW w:w="1984" w:type="dxa"/>
            <w:shd w:val="clear" w:color="auto" w:fill="4F6228"/>
            <w:vAlign w:val="center"/>
            <w:hideMark/>
          </w:tcPr>
          <w:p w:rsidR="00230ECC" w:rsidRPr="00230ECC" w:rsidRDefault="00230ECC" w:rsidP="00230ECC">
            <w:pPr>
              <w:ind w:firstLine="0"/>
              <w:jc w:val="center"/>
              <w:rPr>
                <w:b/>
                <w:lang w:eastAsia="es-MX"/>
              </w:rPr>
            </w:pPr>
            <w:r w:rsidRPr="00230ECC">
              <w:rPr>
                <w:b/>
                <w:lang w:eastAsia="es-MX"/>
              </w:rPr>
              <w:t>Ciclo Agrícola 2012</w:t>
            </w:r>
          </w:p>
        </w:tc>
        <w:tc>
          <w:tcPr>
            <w:tcW w:w="1562" w:type="dxa"/>
            <w:shd w:val="clear" w:color="auto" w:fill="4F6228"/>
            <w:vAlign w:val="center"/>
            <w:hideMark/>
          </w:tcPr>
          <w:p w:rsidR="00230ECC" w:rsidRPr="00230ECC" w:rsidRDefault="00230ECC" w:rsidP="00230ECC">
            <w:pPr>
              <w:ind w:firstLine="0"/>
              <w:jc w:val="center"/>
              <w:rPr>
                <w:b/>
                <w:lang w:eastAsia="es-MX"/>
              </w:rPr>
            </w:pPr>
            <w:r w:rsidRPr="00230ECC">
              <w:rPr>
                <w:b/>
                <w:lang w:eastAsia="es-MX"/>
              </w:rPr>
              <w:t>Superficie Cosechada (millones de ha)</w:t>
            </w:r>
          </w:p>
        </w:tc>
        <w:tc>
          <w:tcPr>
            <w:tcW w:w="992" w:type="dxa"/>
            <w:shd w:val="clear" w:color="auto" w:fill="4F6228"/>
            <w:vAlign w:val="center"/>
            <w:hideMark/>
          </w:tcPr>
          <w:p w:rsidR="00230ECC" w:rsidRDefault="00230ECC" w:rsidP="00230ECC">
            <w:pPr>
              <w:ind w:firstLine="0"/>
              <w:jc w:val="center"/>
              <w:rPr>
                <w:b/>
                <w:lang w:eastAsia="es-MX"/>
              </w:rPr>
            </w:pPr>
            <w:r w:rsidRPr="00230ECC">
              <w:rPr>
                <w:b/>
                <w:lang w:eastAsia="es-MX"/>
              </w:rPr>
              <w:t>Part.</w:t>
            </w:r>
          </w:p>
          <w:p w:rsidR="00230ECC" w:rsidRPr="00230ECC" w:rsidRDefault="00230ECC" w:rsidP="00230ECC">
            <w:pPr>
              <w:ind w:firstLine="0"/>
              <w:jc w:val="center"/>
              <w:rPr>
                <w:b/>
                <w:lang w:eastAsia="es-MX"/>
              </w:rPr>
            </w:pPr>
            <w:r w:rsidRPr="00230ECC">
              <w:rPr>
                <w:b/>
                <w:lang w:eastAsia="es-MX"/>
              </w:rPr>
              <w:t>(%)</w:t>
            </w:r>
          </w:p>
        </w:tc>
        <w:tc>
          <w:tcPr>
            <w:tcW w:w="1701" w:type="dxa"/>
            <w:shd w:val="clear" w:color="auto" w:fill="4F6228"/>
            <w:vAlign w:val="center"/>
            <w:hideMark/>
          </w:tcPr>
          <w:p w:rsidR="00230ECC" w:rsidRPr="00230ECC" w:rsidRDefault="00230ECC" w:rsidP="00230ECC">
            <w:pPr>
              <w:ind w:firstLine="0"/>
              <w:jc w:val="center"/>
              <w:rPr>
                <w:b/>
                <w:lang w:eastAsia="es-MX"/>
              </w:rPr>
            </w:pPr>
            <w:r w:rsidRPr="00230ECC">
              <w:rPr>
                <w:b/>
                <w:lang w:eastAsia="es-MX"/>
              </w:rPr>
              <w:t>Valor Producción (mdp)</w:t>
            </w:r>
          </w:p>
        </w:tc>
        <w:tc>
          <w:tcPr>
            <w:tcW w:w="1275" w:type="dxa"/>
            <w:shd w:val="clear" w:color="auto" w:fill="4F6228"/>
            <w:vAlign w:val="center"/>
            <w:hideMark/>
          </w:tcPr>
          <w:p w:rsidR="00230ECC" w:rsidRDefault="00230ECC" w:rsidP="00230ECC">
            <w:pPr>
              <w:ind w:firstLine="0"/>
              <w:jc w:val="center"/>
              <w:rPr>
                <w:b/>
                <w:lang w:eastAsia="es-MX"/>
              </w:rPr>
            </w:pPr>
            <w:r>
              <w:rPr>
                <w:b/>
                <w:lang w:eastAsia="es-MX"/>
              </w:rPr>
              <w:t>Part.</w:t>
            </w:r>
          </w:p>
          <w:p w:rsidR="00230ECC" w:rsidRPr="00230ECC" w:rsidRDefault="00230ECC" w:rsidP="00230ECC">
            <w:pPr>
              <w:ind w:firstLine="0"/>
              <w:jc w:val="center"/>
              <w:rPr>
                <w:b/>
                <w:lang w:eastAsia="es-MX"/>
              </w:rPr>
            </w:pPr>
            <w:r w:rsidRPr="00230ECC">
              <w:rPr>
                <w:b/>
                <w:lang w:eastAsia="es-MX"/>
              </w:rPr>
              <w:t>(%)</w:t>
            </w:r>
          </w:p>
        </w:tc>
      </w:tr>
      <w:tr w:rsidR="00230ECC" w:rsidRPr="00FD766E" w:rsidTr="00230ECC">
        <w:trPr>
          <w:trHeight w:val="285"/>
          <w:jc w:val="center"/>
        </w:trPr>
        <w:tc>
          <w:tcPr>
            <w:tcW w:w="1984" w:type="dxa"/>
            <w:shd w:val="clear" w:color="auto" w:fill="auto"/>
            <w:noWrap/>
            <w:vAlign w:val="center"/>
            <w:hideMark/>
          </w:tcPr>
          <w:p w:rsidR="00230ECC" w:rsidRPr="00FD766E" w:rsidRDefault="00230ECC" w:rsidP="00230ECC">
            <w:pPr>
              <w:ind w:hanging="23"/>
              <w:rPr>
                <w:lang w:eastAsia="es-MX"/>
              </w:rPr>
            </w:pPr>
            <w:r w:rsidRPr="00FD766E">
              <w:rPr>
                <w:lang w:eastAsia="es-MX"/>
              </w:rPr>
              <w:t>Otoño-Invierno</w:t>
            </w:r>
          </w:p>
        </w:tc>
        <w:tc>
          <w:tcPr>
            <w:tcW w:w="1562" w:type="dxa"/>
            <w:shd w:val="clear" w:color="auto" w:fill="auto"/>
            <w:noWrap/>
            <w:vAlign w:val="center"/>
            <w:hideMark/>
          </w:tcPr>
          <w:p w:rsidR="00230ECC" w:rsidRPr="00FD766E" w:rsidRDefault="00230ECC" w:rsidP="00230ECC">
            <w:pPr>
              <w:ind w:right="452" w:hanging="23"/>
              <w:jc w:val="right"/>
              <w:rPr>
                <w:lang w:eastAsia="es-MX"/>
              </w:rPr>
            </w:pPr>
            <w:r w:rsidRPr="00FD766E">
              <w:rPr>
                <w:lang w:eastAsia="es-MX"/>
              </w:rPr>
              <w:t>3.64</w:t>
            </w:r>
          </w:p>
        </w:tc>
        <w:tc>
          <w:tcPr>
            <w:tcW w:w="992" w:type="dxa"/>
            <w:shd w:val="clear" w:color="auto" w:fill="auto"/>
            <w:noWrap/>
            <w:vAlign w:val="center"/>
            <w:hideMark/>
          </w:tcPr>
          <w:p w:rsidR="00230ECC" w:rsidRPr="00FD766E" w:rsidRDefault="00230ECC" w:rsidP="00230ECC">
            <w:pPr>
              <w:ind w:right="169" w:hanging="23"/>
              <w:jc w:val="right"/>
              <w:rPr>
                <w:lang w:eastAsia="es-MX"/>
              </w:rPr>
            </w:pPr>
            <w:r w:rsidRPr="00FD766E">
              <w:rPr>
                <w:lang w:eastAsia="es-MX"/>
              </w:rPr>
              <w:t>24.9%</w:t>
            </w:r>
          </w:p>
        </w:tc>
        <w:tc>
          <w:tcPr>
            <w:tcW w:w="1701" w:type="dxa"/>
            <w:shd w:val="clear" w:color="auto" w:fill="auto"/>
            <w:noWrap/>
            <w:vAlign w:val="center"/>
            <w:hideMark/>
          </w:tcPr>
          <w:p w:rsidR="00230ECC" w:rsidRPr="00FD766E" w:rsidRDefault="00230ECC" w:rsidP="00230ECC">
            <w:pPr>
              <w:ind w:right="310" w:hanging="23"/>
              <w:jc w:val="right"/>
              <w:rPr>
                <w:lang w:eastAsia="es-MX"/>
              </w:rPr>
            </w:pPr>
            <w:r w:rsidRPr="00FD766E">
              <w:rPr>
                <w:lang w:eastAsia="es-MX"/>
              </w:rPr>
              <w:t>94,759.96</w:t>
            </w:r>
          </w:p>
        </w:tc>
        <w:tc>
          <w:tcPr>
            <w:tcW w:w="1275" w:type="dxa"/>
            <w:shd w:val="clear" w:color="auto" w:fill="auto"/>
            <w:noWrap/>
            <w:vAlign w:val="center"/>
            <w:hideMark/>
          </w:tcPr>
          <w:p w:rsidR="00230ECC" w:rsidRPr="00FD766E" w:rsidRDefault="00230ECC" w:rsidP="00230ECC">
            <w:pPr>
              <w:ind w:right="309" w:hanging="23"/>
              <w:jc w:val="right"/>
              <w:rPr>
                <w:lang w:eastAsia="es-MX"/>
              </w:rPr>
            </w:pPr>
            <w:r w:rsidRPr="00FD766E">
              <w:rPr>
                <w:lang w:eastAsia="es-MX"/>
              </w:rPr>
              <w:t>38.3%</w:t>
            </w:r>
          </w:p>
        </w:tc>
      </w:tr>
      <w:tr w:rsidR="00230ECC" w:rsidRPr="00FD766E" w:rsidTr="00230ECC">
        <w:trPr>
          <w:trHeight w:val="285"/>
          <w:jc w:val="center"/>
        </w:trPr>
        <w:tc>
          <w:tcPr>
            <w:tcW w:w="1984" w:type="dxa"/>
            <w:shd w:val="clear" w:color="auto" w:fill="auto"/>
            <w:noWrap/>
            <w:vAlign w:val="center"/>
            <w:hideMark/>
          </w:tcPr>
          <w:p w:rsidR="00230ECC" w:rsidRPr="00FD766E" w:rsidRDefault="00230ECC" w:rsidP="00230ECC">
            <w:pPr>
              <w:ind w:hanging="23"/>
              <w:rPr>
                <w:lang w:eastAsia="es-MX"/>
              </w:rPr>
            </w:pPr>
            <w:r w:rsidRPr="00FD766E">
              <w:rPr>
                <w:lang w:eastAsia="es-MX"/>
              </w:rPr>
              <w:t>Primavera-Verano</w:t>
            </w:r>
          </w:p>
        </w:tc>
        <w:tc>
          <w:tcPr>
            <w:tcW w:w="1562" w:type="dxa"/>
            <w:shd w:val="clear" w:color="auto" w:fill="auto"/>
            <w:noWrap/>
            <w:vAlign w:val="center"/>
            <w:hideMark/>
          </w:tcPr>
          <w:p w:rsidR="00230ECC" w:rsidRPr="00FD766E" w:rsidRDefault="00230ECC" w:rsidP="00230ECC">
            <w:pPr>
              <w:ind w:right="452" w:hanging="23"/>
              <w:jc w:val="right"/>
              <w:rPr>
                <w:lang w:eastAsia="es-MX"/>
              </w:rPr>
            </w:pPr>
            <w:r w:rsidRPr="00FD766E">
              <w:rPr>
                <w:lang w:eastAsia="es-MX"/>
              </w:rPr>
              <w:t>11.00</w:t>
            </w:r>
          </w:p>
        </w:tc>
        <w:tc>
          <w:tcPr>
            <w:tcW w:w="992" w:type="dxa"/>
            <w:shd w:val="clear" w:color="auto" w:fill="auto"/>
            <w:noWrap/>
            <w:vAlign w:val="center"/>
            <w:hideMark/>
          </w:tcPr>
          <w:p w:rsidR="00230ECC" w:rsidRPr="00FD766E" w:rsidRDefault="00230ECC" w:rsidP="00230ECC">
            <w:pPr>
              <w:ind w:right="169" w:hanging="23"/>
              <w:jc w:val="right"/>
              <w:rPr>
                <w:lang w:eastAsia="es-MX"/>
              </w:rPr>
            </w:pPr>
            <w:r w:rsidRPr="00FD766E">
              <w:rPr>
                <w:lang w:eastAsia="es-MX"/>
              </w:rPr>
              <w:t>75.1%</w:t>
            </w:r>
          </w:p>
        </w:tc>
        <w:tc>
          <w:tcPr>
            <w:tcW w:w="1701" w:type="dxa"/>
            <w:shd w:val="clear" w:color="auto" w:fill="auto"/>
            <w:noWrap/>
            <w:vAlign w:val="center"/>
            <w:hideMark/>
          </w:tcPr>
          <w:p w:rsidR="00230ECC" w:rsidRPr="00FD766E" w:rsidRDefault="00230ECC" w:rsidP="00230ECC">
            <w:pPr>
              <w:ind w:right="310" w:hanging="23"/>
              <w:jc w:val="right"/>
              <w:rPr>
                <w:lang w:eastAsia="es-MX"/>
              </w:rPr>
            </w:pPr>
            <w:r w:rsidRPr="00FD766E">
              <w:rPr>
                <w:lang w:eastAsia="es-MX"/>
              </w:rPr>
              <w:t>152,818.50</w:t>
            </w:r>
          </w:p>
        </w:tc>
        <w:tc>
          <w:tcPr>
            <w:tcW w:w="1275" w:type="dxa"/>
            <w:shd w:val="clear" w:color="auto" w:fill="auto"/>
            <w:noWrap/>
            <w:vAlign w:val="center"/>
            <w:hideMark/>
          </w:tcPr>
          <w:p w:rsidR="00230ECC" w:rsidRPr="00FD766E" w:rsidRDefault="00230ECC" w:rsidP="00230ECC">
            <w:pPr>
              <w:ind w:right="309" w:hanging="23"/>
              <w:jc w:val="right"/>
              <w:rPr>
                <w:lang w:eastAsia="es-MX"/>
              </w:rPr>
            </w:pPr>
            <w:r w:rsidRPr="00FD766E">
              <w:rPr>
                <w:lang w:eastAsia="es-MX"/>
              </w:rPr>
              <w:t>61.7%</w:t>
            </w:r>
          </w:p>
        </w:tc>
      </w:tr>
      <w:tr w:rsidR="00230ECC" w:rsidRPr="00230ECC" w:rsidTr="00230ECC">
        <w:trPr>
          <w:trHeight w:val="300"/>
          <w:jc w:val="center"/>
        </w:trPr>
        <w:tc>
          <w:tcPr>
            <w:tcW w:w="1984" w:type="dxa"/>
            <w:shd w:val="clear" w:color="auto" w:fill="auto"/>
            <w:noWrap/>
            <w:vAlign w:val="center"/>
            <w:hideMark/>
          </w:tcPr>
          <w:p w:rsidR="00230ECC" w:rsidRPr="00230ECC" w:rsidRDefault="00230ECC" w:rsidP="00230ECC">
            <w:pPr>
              <w:ind w:hanging="23"/>
              <w:jc w:val="center"/>
              <w:rPr>
                <w:b/>
                <w:lang w:eastAsia="es-MX"/>
              </w:rPr>
            </w:pPr>
            <w:r w:rsidRPr="00230ECC">
              <w:rPr>
                <w:b/>
                <w:lang w:eastAsia="es-MX"/>
              </w:rPr>
              <w:t>TOTAL</w:t>
            </w:r>
          </w:p>
        </w:tc>
        <w:tc>
          <w:tcPr>
            <w:tcW w:w="1562" w:type="dxa"/>
            <w:shd w:val="clear" w:color="auto" w:fill="auto"/>
            <w:noWrap/>
            <w:vAlign w:val="center"/>
            <w:hideMark/>
          </w:tcPr>
          <w:p w:rsidR="00230ECC" w:rsidRPr="00230ECC" w:rsidRDefault="00230ECC" w:rsidP="00230ECC">
            <w:pPr>
              <w:ind w:right="452" w:hanging="23"/>
              <w:jc w:val="right"/>
              <w:rPr>
                <w:b/>
                <w:lang w:eastAsia="es-MX"/>
              </w:rPr>
            </w:pPr>
            <w:r w:rsidRPr="00230ECC">
              <w:rPr>
                <w:b/>
                <w:lang w:eastAsia="es-MX"/>
              </w:rPr>
              <w:t>14.64</w:t>
            </w:r>
          </w:p>
        </w:tc>
        <w:tc>
          <w:tcPr>
            <w:tcW w:w="992" w:type="dxa"/>
            <w:shd w:val="clear" w:color="auto" w:fill="auto"/>
            <w:noWrap/>
            <w:vAlign w:val="center"/>
            <w:hideMark/>
          </w:tcPr>
          <w:p w:rsidR="00230ECC" w:rsidRPr="00230ECC" w:rsidRDefault="00230ECC" w:rsidP="00230ECC">
            <w:pPr>
              <w:ind w:right="169" w:hanging="23"/>
              <w:jc w:val="right"/>
              <w:rPr>
                <w:b/>
                <w:lang w:eastAsia="es-MX"/>
              </w:rPr>
            </w:pPr>
            <w:r w:rsidRPr="00230ECC">
              <w:rPr>
                <w:b/>
                <w:lang w:eastAsia="es-MX"/>
              </w:rPr>
              <w:t>100.0%</w:t>
            </w:r>
          </w:p>
        </w:tc>
        <w:tc>
          <w:tcPr>
            <w:tcW w:w="1701" w:type="dxa"/>
            <w:shd w:val="clear" w:color="auto" w:fill="auto"/>
            <w:noWrap/>
            <w:vAlign w:val="center"/>
            <w:hideMark/>
          </w:tcPr>
          <w:p w:rsidR="00230ECC" w:rsidRPr="00230ECC" w:rsidRDefault="00230ECC" w:rsidP="00230ECC">
            <w:pPr>
              <w:ind w:right="310" w:hanging="23"/>
              <w:jc w:val="right"/>
              <w:rPr>
                <w:b/>
                <w:lang w:eastAsia="es-MX"/>
              </w:rPr>
            </w:pPr>
            <w:r w:rsidRPr="00230ECC">
              <w:rPr>
                <w:b/>
                <w:lang w:eastAsia="es-MX"/>
              </w:rPr>
              <w:t>247,578.4</w:t>
            </w:r>
            <w:r w:rsidR="00A52108">
              <w:rPr>
                <w:b/>
                <w:lang w:eastAsia="es-MX"/>
              </w:rPr>
              <w:t>6</w:t>
            </w:r>
          </w:p>
        </w:tc>
        <w:tc>
          <w:tcPr>
            <w:tcW w:w="1275" w:type="dxa"/>
            <w:shd w:val="clear" w:color="auto" w:fill="auto"/>
            <w:noWrap/>
            <w:vAlign w:val="center"/>
            <w:hideMark/>
          </w:tcPr>
          <w:p w:rsidR="00230ECC" w:rsidRPr="00230ECC" w:rsidRDefault="00230ECC" w:rsidP="00230ECC">
            <w:pPr>
              <w:ind w:right="309" w:hanging="23"/>
              <w:jc w:val="right"/>
              <w:rPr>
                <w:b/>
                <w:lang w:eastAsia="es-MX"/>
              </w:rPr>
            </w:pPr>
            <w:r w:rsidRPr="00230ECC">
              <w:rPr>
                <w:b/>
                <w:lang w:eastAsia="es-MX"/>
              </w:rPr>
              <w:t>100.0%</w:t>
            </w:r>
          </w:p>
        </w:tc>
      </w:tr>
    </w:tbl>
    <w:p w:rsidR="007A020B" w:rsidRPr="007A020B" w:rsidRDefault="007A020B" w:rsidP="00F42934">
      <w:pPr>
        <w:pStyle w:val="Fuentesyreferencias"/>
      </w:pPr>
      <w:r w:rsidRPr="007A020B">
        <w:t>Fuente: SIACON-SAGARPA.</w:t>
      </w:r>
    </w:p>
    <w:p w:rsidR="002524B4" w:rsidRPr="00C21A75" w:rsidRDefault="002524B4" w:rsidP="00C21A75"/>
    <w:p w:rsidR="009E4835" w:rsidRPr="00B47F47" w:rsidRDefault="007A020B" w:rsidP="00C21A75">
      <w:r w:rsidRPr="00C21A75">
        <w:t>E</w:t>
      </w:r>
      <w:r w:rsidR="009E4835" w:rsidRPr="00C21A75">
        <w:t>n el ot</w:t>
      </w:r>
      <w:r w:rsidR="00A52108">
        <w:t>orgamiento de crédito mediante Intermediarios F</w:t>
      </w:r>
      <w:r w:rsidR="009E4835" w:rsidRPr="00C21A75">
        <w:t>inancieros, la Institución refleja una fortaleza en el análisis y supervisión de sus actividades. Al cierre de 2013, se otorgó financiamiento a 405 clientes, que a su vez dispersaron recursos a 257 mil clientes finales, representando el 44% del saldo al cierre.</w:t>
      </w:r>
    </w:p>
    <w:p w:rsidR="009926AC" w:rsidRPr="00B47F47" w:rsidRDefault="009926AC" w:rsidP="00C21A75"/>
    <w:p w:rsidR="00D97752" w:rsidRPr="0084335B" w:rsidRDefault="007018D0" w:rsidP="00230ECC">
      <w:pPr>
        <w:pStyle w:val="Cuadros"/>
      </w:pPr>
      <w:r>
        <w:t>Tabla 9</w:t>
      </w:r>
      <w:r w:rsidR="0084335B" w:rsidRPr="0084335B">
        <w:t>. Clientes Indirectos, 2013.</w:t>
      </w:r>
    </w:p>
    <w:p w:rsidR="0084335B" w:rsidRPr="00F443D9" w:rsidRDefault="00A52108" w:rsidP="00230ECC">
      <w:pPr>
        <w:ind w:firstLine="0"/>
        <w:jc w:val="center"/>
      </w:pPr>
      <w:r w:rsidRPr="00A52108">
        <w:rPr>
          <w:noProof/>
          <w:lang w:eastAsia="es-MX"/>
        </w:rPr>
        <w:lastRenderedPageBreak/>
        <w:drawing>
          <wp:inline distT="0" distB="0" distL="0" distR="0" wp14:anchorId="1F3D9E4C" wp14:editId="19EE913E">
            <wp:extent cx="1929008" cy="1056829"/>
            <wp:effectExtent l="25400" t="25400" r="27305" b="35560"/>
            <wp:docPr id="4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srcRect/>
                    <a:stretch>
                      <a:fillRect/>
                    </a:stretch>
                  </pic:blipFill>
                  <pic:spPr bwMode="auto">
                    <a:xfrm>
                      <a:off x="0" y="0"/>
                      <a:ext cx="1929307" cy="1056993"/>
                    </a:xfrm>
                    <a:prstGeom prst="rect">
                      <a:avLst/>
                    </a:prstGeom>
                    <a:noFill/>
                    <a:ln w="9525">
                      <a:solidFill>
                        <a:schemeClr val="tx1"/>
                      </a:solidFill>
                      <a:miter lim="800000"/>
                      <a:headEnd/>
                      <a:tailEnd/>
                    </a:ln>
                  </pic:spPr>
                </pic:pic>
              </a:graphicData>
            </a:graphic>
          </wp:inline>
        </w:drawing>
      </w:r>
    </w:p>
    <w:p w:rsidR="00D97752" w:rsidRDefault="0084335B" w:rsidP="00230ECC">
      <w:pPr>
        <w:pStyle w:val="Fuentesyreferencias"/>
      </w:pPr>
      <w:r>
        <w:t>Fue</w:t>
      </w:r>
      <w:r w:rsidR="00230ECC">
        <w:t>nte: Financiera Nacional, 2013.</w:t>
      </w:r>
    </w:p>
    <w:p w:rsidR="002524B4" w:rsidRPr="00C21A75" w:rsidRDefault="002524B4" w:rsidP="006552DF"/>
    <w:p w:rsidR="009E4835" w:rsidRPr="00B47F47" w:rsidRDefault="00D97752" w:rsidP="00C21A75">
      <w:r w:rsidRPr="00C21A75">
        <w:t xml:space="preserve">Los Intermediarios Financieros atendidos están distribuidos de manera uniforme en las diferentes regiones del país. </w:t>
      </w:r>
      <w:r w:rsidR="009E4835" w:rsidRPr="00C21A75">
        <w:t>Sin embargo, el mecanismo de intermediación sigue siendo insuficiente para atender al sector objetivo y el financiamiento resulta de mayor costo para el acreditado final. Adicionalmente, coexisten en el universo de 405 clientes, empresas dedicadas exclusivamente al proceso de intermediación financiera con organizaciones de productores cuya única finalidad es dispersar crédito a sus integrantes, y que son tratados bajo las mismas reglas.</w:t>
      </w:r>
    </w:p>
    <w:p w:rsidR="009E4835" w:rsidRPr="00C21A75" w:rsidRDefault="009E4835" w:rsidP="00C21A75">
      <w:r w:rsidRPr="00B47F47">
        <w:t xml:space="preserve">Como puede apreciarse, la inercia observada tanto en el sector financiero como en el sector agroalimentario ha sido el elemento que ha caracterizado la </w:t>
      </w:r>
      <w:r w:rsidR="00166BD1" w:rsidRPr="00B47F47">
        <w:t>cartera de</w:t>
      </w:r>
      <w:r w:rsidRPr="00B47F47">
        <w:t xml:space="preserve"> Financiera Rural.</w:t>
      </w:r>
    </w:p>
    <w:p w:rsidR="00166BD1" w:rsidRPr="00C21A75" w:rsidRDefault="00166BD1" w:rsidP="00C21A75"/>
    <w:p w:rsidR="009E4835" w:rsidRPr="00C21A75" w:rsidRDefault="009E4835" w:rsidP="00230ECC">
      <w:pPr>
        <w:pStyle w:val="Ttulo3"/>
      </w:pPr>
      <w:r w:rsidRPr="00C21A75">
        <w:t>Tasas de interés: la evolución reciente</w:t>
      </w:r>
    </w:p>
    <w:p w:rsidR="009E4835" w:rsidRDefault="009E4835" w:rsidP="00B47F47">
      <w:r w:rsidRPr="00B47F47">
        <w:t xml:space="preserve">De acuerdo con cifras de la Comisión Nacional Bancaria y de Valores (CNBV) y de la Financiera Nacional, las tasas ponderadas por créditos otorgados al sector primario han evolucionado a la baja en los últimos años. En este caso, llama la atención el diferencial que se ha mantenido entre las tasas que cobra la Financiera Rural (ahora </w:t>
      </w:r>
      <w:r w:rsidR="00980443" w:rsidRPr="00B47F47">
        <w:t xml:space="preserve">Financiera </w:t>
      </w:r>
      <w:r w:rsidR="00A52108">
        <w:t>Nacional) y la Banca C</w:t>
      </w:r>
      <w:r w:rsidRPr="00B47F47">
        <w:t xml:space="preserve">omercial. Este diferencial, se ubica </w:t>
      </w:r>
      <w:r w:rsidR="00A52108">
        <w:t>en alrededor de 300 puntos base y</w:t>
      </w:r>
      <w:r w:rsidRPr="00B47F47">
        <w:t xml:space="preserve"> es un marco de referencia del esfuerzo que deberá realizarse en el futuro por parte de la Institución para ofrecer tasas competitivas en el mercado.</w:t>
      </w:r>
    </w:p>
    <w:p w:rsidR="00230ECC" w:rsidRPr="00B47F47" w:rsidRDefault="00230ECC" w:rsidP="00B47F47"/>
    <w:p w:rsidR="002524B4" w:rsidRPr="009E4835" w:rsidRDefault="007018D0" w:rsidP="00230ECC">
      <w:pPr>
        <w:pStyle w:val="Graficas"/>
      </w:pPr>
      <w:r>
        <w:t>Gr</w:t>
      </w:r>
      <w:r>
        <w:rPr>
          <w:lang w:val="es-ES"/>
        </w:rPr>
        <w:t>á</w:t>
      </w:r>
      <w:r>
        <w:t xml:space="preserve">fica </w:t>
      </w:r>
      <w:r w:rsidR="00953950">
        <w:rPr>
          <w:lang w:val="es-ES"/>
        </w:rPr>
        <w:t>1</w:t>
      </w:r>
      <w:r w:rsidR="007B7E4D">
        <w:rPr>
          <w:lang w:val="es-ES"/>
        </w:rPr>
        <w:t>8</w:t>
      </w:r>
      <w:r w:rsidR="002524B4">
        <w:t xml:space="preserve">. </w:t>
      </w:r>
      <w:r w:rsidR="00F04915">
        <w:t>Evolución de las tasas de interés en el sector primario.</w:t>
      </w:r>
    </w:p>
    <w:p w:rsidR="009E4835" w:rsidRPr="00F443D9" w:rsidRDefault="00567604" w:rsidP="00172FFC">
      <w:pPr>
        <w:ind w:firstLine="0"/>
        <w:jc w:val="center"/>
      </w:pPr>
      <w:r>
        <w:rPr>
          <w:rFonts w:ascii="Adobe Caslon Pro" w:hAnsi="Adobe Caslon Pro"/>
          <w:noProof/>
          <w:lang w:eastAsia="es-MX"/>
        </w:rPr>
        <w:drawing>
          <wp:inline distT="0" distB="0" distL="0" distR="0" wp14:anchorId="7046C3DF" wp14:editId="65D545BC">
            <wp:extent cx="3092194" cy="1885423"/>
            <wp:effectExtent l="0" t="0" r="0" b="63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93322" cy="1886111"/>
                    </a:xfrm>
                    <a:prstGeom prst="rect">
                      <a:avLst/>
                    </a:prstGeom>
                    <a:noFill/>
                  </pic:spPr>
                </pic:pic>
              </a:graphicData>
            </a:graphic>
          </wp:inline>
        </w:drawing>
      </w:r>
    </w:p>
    <w:p w:rsidR="00A852F0" w:rsidRPr="00F04915" w:rsidRDefault="00A852F0" w:rsidP="00230ECC">
      <w:pPr>
        <w:pStyle w:val="Fuentesyreferencias"/>
      </w:pPr>
      <w:r w:rsidRPr="00F04915">
        <w:t xml:space="preserve">Fuente: </w:t>
      </w:r>
      <w:r w:rsidR="00F04915" w:rsidRPr="00F04915">
        <w:t>CNBV y Financiera Nacional</w:t>
      </w:r>
      <w:r w:rsidR="00F04915">
        <w:t>.</w:t>
      </w:r>
    </w:p>
    <w:p w:rsidR="00980443" w:rsidRPr="00C21A75" w:rsidRDefault="00980443" w:rsidP="00C21A75"/>
    <w:p w:rsidR="009E4835" w:rsidRPr="00C21A75" w:rsidRDefault="009E4835" w:rsidP="00C21A75">
      <w:r w:rsidRPr="00C21A75">
        <w:t>Por su parte, en el último año, prácticamente todos los actores del sector han disminuido sus tasas de interés</w:t>
      </w:r>
      <w:r w:rsidR="00A52108">
        <w:t>,</w:t>
      </w:r>
      <w:r w:rsidR="00980443" w:rsidRPr="00C21A75">
        <w:t xml:space="preserve"> como se muestra en la siguiente gráfica</w:t>
      </w:r>
      <w:r w:rsidRPr="00C21A75">
        <w:t>.</w:t>
      </w:r>
    </w:p>
    <w:p w:rsidR="00A52108" w:rsidRPr="00B47F47" w:rsidRDefault="00A52108" w:rsidP="00C21A75"/>
    <w:p w:rsidR="00A852F0" w:rsidRPr="009E4835" w:rsidRDefault="007018D0" w:rsidP="00230ECC">
      <w:pPr>
        <w:pStyle w:val="Graficas"/>
      </w:pPr>
      <w:r>
        <w:t>Gr</w:t>
      </w:r>
      <w:r>
        <w:rPr>
          <w:lang w:val="es-ES"/>
        </w:rPr>
        <w:t>á</w:t>
      </w:r>
      <w:r>
        <w:t xml:space="preserve">fica </w:t>
      </w:r>
      <w:r w:rsidR="00953950">
        <w:rPr>
          <w:lang w:val="es-ES"/>
        </w:rPr>
        <w:t>1</w:t>
      </w:r>
      <w:r w:rsidR="007B7E4D">
        <w:rPr>
          <w:lang w:val="es-ES"/>
        </w:rPr>
        <w:t>9</w:t>
      </w:r>
      <w:r w:rsidR="00A852F0">
        <w:t xml:space="preserve">. </w:t>
      </w:r>
      <w:r w:rsidR="00F04915">
        <w:t>Comparación</w:t>
      </w:r>
      <w:r w:rsidR="00A852F0">
        <w:t xml:space="preserve"> de las tasas de interés y saldos en cartera en el sector primario</w:t>
      </w:r>
      <w:r w:rsidR="00F04915">
        <w:t xml:space="preserve"> 2012-2013</w:t>
      </w:r>
      <w:r w:rsidR="00230ECC">
        <w:t>.</w:t>
      </w:r>
    </w:p>
    <w:p w:rsidR="009E4835" w:rsidRPr="00C21A75" w:rsidRDefault="001C2BF1" w:rsidP="00172FFC">
      <w:pPr>
        <w:ind w:firstLine="0"/>
        <w:jc w:val="center"/>
      </w:pPr>
      <w:r>
        <w:rPr>
          <w:noProof/>
          <w:lang w:eastAsia="es-MX"/>
        </w:rPr>
        <w:lastRenderedPageBreak/>
        <w:drawing>
          <wp:inline distT="0" distB="0" distL="0" distR="0" wp14:anchorId="41E123B9" wp14:editId="752455A8">
            <wp:extent cx="3450534" cy="263585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51257" cy="2636402"/>
                    </a:xfrm>
                    <a:prstGeom prst="rect">
                      <a:avLst/>
                    </a:prstGeom>
                    <a:noFill/>
                  </pic:spPr>
                </pic:pic>
              </a:graphicData>
            </a:graphic>
          </wp:inline>
        </w:drawing>
      </w:r>
    </w:p>
    <w:p w:rsidR="00A852F0" w:rsidRPr="009E4835" w:rsidRDefault="00A852F0" w:rsidP="00230ECC">
      <w:pPr>
        <w:pStyle w:val="Fuentesyreferencias"/>
      </w:pPr>
      <w:r>
        <w:t>Fuente: CNBV y Financiera Nacional.</w:t>
      </w:r>
    </w:p>
    <w:p w:rsidR="00953950" w:rsidRPr="00C21A75" w:rsidRDefault="00953950" w:rsidP="00C21A75"/>
    <w:p w:rsidR="009E4835" w:rsidRPr="00B47F47" w:rsidRDefault="009E4835" w:rsidP="00C21A75">
      <w:r w:rsidRPr="00C21A75">
        <w:t xml:space="preserve">Un aspecto que deberá tomarse en cuenta para diseñar la política de tasas </w:t>
      </w:r>
      <w:r w:rsidR="00B95888" w:rsidRPr="00C21A75">
        <w:t xml:space="preserve">de interés </w:t>
      </w:r>
      <w:r w:rsidRPr="00C21A75">
        <w:t>por parte de la Financiera</w:t>
      </w:r>
      <w:r w:rsidR="00B7687D" w:rsidRPr="00C21A75">
        <w:t xml:space="preserve"> Nacional</w:t>
      </w:r>
      <w:r w:rsidR="00B95888" w:rsidRPr="00B47F47">
        <w:t>,</w:t>
      </w:r>
      <w:r w:rsidRPr="00B47F47">
        <w:t xml:space="preserve"> radica en el entorno económico que se espera tener en los próximos años. En particular, como es conocido, se observó desde la crisis de 2008, un escenario de amplia liquidez y bajas tas</w:t>
      </w:r>
      <w:r w:rsidR="00230ECC">
        <w:t>as de interés para la economía.</w:t>
      </w:r>
    </w:p>
    <w:p w:rsidR="009E4835" w:rsidRPr="00C21A75" w:rsidRDefault="009E4835" w:rsidP="00C21A75">
      <w:pPr>
        <w:rPr>
          <w:i/>
          <w:u w:val="single"/>
        </w:rPr>
      </w:pPr>
      <w:r w:rsidRPr="00B47F47">
        <w:t>Sin embargo, y como se reconoce en el PRONAFIDE, se espera que en el corto y mediano plazo se presenten cambios en la política monetaria de Estados Unidos y Europa, lo que ocasionaría un crecimiento de las tasas de interés. Ello provocaría una doble presión en el sector, ya que por una parte se estaría esperando una reducción en el costo de financiamiento y simultáneamente se observaría un incremento en las t</w:t>
      </w:r>
      <w:r w:rsidR="00B95888" w:rsidRPr="00B47F47">
        <w:t xml:space="preserve">asas de referencia. Esto podría </w:t>
      </w:r>
      <w:r w:rsidR="00B7687D" w:rsidRPr="00B47F47">
        <w:t>causar</w:t>
      </w:r>
      <w:r w:rsidR="00B95888" w:rsidRPr="00B47F47">
        <w:t xml:space="preserve"> una reducción en los márgenes de intermediación, en todo caso, para aquellas instituciones que se fondean a una tasa de mercado. </w:t>
      </w:r>
      <w:r w:rsidRPr="00B47F47">
        <w:t xml:space="preserve">Este aspecto deberá </w:t>
      </w:r>
      <w:r w:rsidR="0025015D" w:rsidRPr="00B47F47">
        <w:t>tomarse en cuenta</w:t>
      </w:r>
      <w:r w:rsidR="00B7687D" w:rsidRPr="00B47F47">
        <w:t xml:space="preserve"> para la planeación del sector </w:t>
      </w:r>
      <w:r w:rsidR="0025015D" w:rsidRPr="00B47F47">
        <w:t>y monitorearse de forma cercana para mitigar sus efectos.</w:t>
      </w:r>
    </w:p>
    <w:p w:rsidR="002204DA" w:rsidRPr="00C21A75" w:rsidRDefault="002204DA" w:rsidP="00C21A75"/>
    <w:p w:rsidR="009E4835" w:rsidRPr="00C21A75" w:rsidRDefault="009E4835" w:rsidP="00230ECC">
      <w:pPr>
        <w:pStyle w:val="Ttulo3"/>
      </w:pPr>
      <w:r w:rsidRPr="00C21A75">
        <w:t>Desarrollo rural e inclusión financiera</w:t>
      </w:r>
    </w:p>
    <w:p w:rsidR="009E4835" w:rsidRPr="00B47F47" w:rsidRDefault="009E4835" w:rsidP="00B47F47">
      <w:r w:rsidRPr="00C21A75">
        <w:t>Adicionalmente al mandato que tiene la Financiera Nacional para atender las actividades del sector primario, en la Ley Orgánica</w:t>
      </w:r>
      <w:r w:rsidR="00401744" w:rsidRPr="00B47F47">
        <w:t xml:space="preserve"> se ha considerado conveniente</w:t>
      </w:r>
      <w:r w:rsidR="0025015D" w:rsidRPr="00B47F47">
        <w:t>,</w:t>
      </w:r>
      <w:r w:rsidRPr="00B47F47">
        <w:t xml:space="preserve"> promover el financiamiento de las actividade</w:t>
      </w:r>
      <w:r w:rsidR="00230ECC">
        <w:t>s económicas en el medio rural.</w:t>
      </w:r>
    </w:p>
    <w:p w:rsidR="009E4835" w:rsidRPr="00B47F47" w:rsidRDefault="009E4835" w:rsidP="00B47F47">
      <w:r w:rsidRPr="00B47F47">
        <w:t>En este sentido, la Institución ha definido como ámbito de actuación en el medi</w:t>
      </w:r>
      <w:r w:rsidR="000C58C6" w:rsidRPr="00B47F47">
        <w:t xml:space="preserve">o rural, atender a la población </w:t>
      </w:r>
      <w:r w:rsidRPr="00B47F47">
        <w:t>en localidades que tengan hasta 50 mil habitantes.</w:t>
      </w:r>
    </w:p>
    <w:p w:rsidR="009E4835" w:rsidRPr="00B47F47" w:rsidRDefault="0025015D" w:rsidP="00B47F47">
      <w:r w:rsidRPr="00B47F47">
        <w:t>De acuerdo con e</w:t>
      </w:r>
      <w:r w:rsidR="009E4835" w:rsidRPr="00B47F47">
        <w:t xml:space="preserve">l último Censo de Población y Vivienda, 52.7 millones de personas (el 47% de la población del país) viven en 192 mil localidades de hasta 50 mil habitantes, lo que da una idea del ámbito de </w:t>
      </w:r>
      <w:r w:rsidR="000C58C6" w:rsidRPr="00B47F47">
        <w:t>acción</w:t>
      </w:r>
      <w:r w:rsidR="009E4835" w:rsidRPr="00B47F47">
        <w:t>. Sin embargo, en las localidades de hasta 2,500 habitantes (más de 188 mil localidades) se observa el fenómeno ampliamente conocido de dispersión poblacional en donde habitan 26 millones de mexicanos.</w:t>
      </w:r>
    </w:p>
    <w:p w:rsidR="009E4835" w:rsidRPr="00B47F47" w:rsidRDefault="009E4835" w:rsidP="00B47F47">
      <w:r w:rsidRPr="00B47F47">
        <w:t>Es igualmente conocido que en las localidades de hasta 2,500 habitantes</w:t>
      </w:r>
      <w:r w:rsidR="0025015D" w:rsidRPr="00B47F47">
        <w:t>,</w:t>
      </w:r>
      <w:r w:rsidRPr="00B47F47">
        <w:t xml:space="preserve"> la población concentra sus actividades económicas en el sector primario. Los últimos datos del INEGI indican que el 50% de la población se dedica a actividades primarias (algunos estudios indican que el dato puede llegar hasta 80%), mientras que el resto de los habitantes realiza labores en los sectores secundario y terciario. Estas cifras revelan un México distinto al que se observa en las grandes urbes y en las ciudades de tamaño medio, donde más del 75% de la población se dedica al comercio y a los servicios en general.</w:t>
      </w:r>
    </w:p>
    <w:p w:rsidR="009E4835" w:rsidRPr="00B47F47" w:rsidRDefault="009E4835" w:rsidP="00B47F47">
      <w:r w:rsidRPr="00B47F47">
        <w:t>El hecho de que la población en el medio rural se concentre en el sector primario, genera fenómenos que también ya han sido ampliamente estudiados</w:t>
      </w:r>
      <w:r w:rsidR="00A52108">
        <w:t xml:space="preserve"> a través de</w:t>
      </w:r>
      <w:r w:rsidRPr="00B47F47">
        <w:t xml:space="preserve"> indicadores de ingreso y condiciones de vida, y cuya atención requiere de una política integral, entre las cuales el financiamiento es una de las herramientas de la política pública. De estos se destaca lo siguiente:</w:t>
      </w:r>
    </w:p>
    <w:p w:rsidR="009E4835" w:rsidRPr="00B47F47" w:rsidRDefault="009E4835" w:rsidP="00F42934">
      <w:pPr>
        <w:pStyle w:val="Prrafodelista"/>
        <w:numPr>
          <w:ilvl w:val="0"/>
          <w:numId w:val="31"/>
        </w:numPr>
      </w:pPr>
      <w:r w:rsidRPr="00B47F47">
        <w:t xml:space="preserve">La pobreza en el sector rural tiene una mayor prevalencia que la reportada en el sector urbano. Y en el caso de la pobreza extrema, ésta es 3.4 veces la registrada en el medio urbano. </w:t>
      </w:r>
    </w:p>
    <w:p w:rsidR="009E4835" w:rsidRPr="00B47F47" w:rsidRDefault="009E4835" w:rsidP="00F42934">
      <w:pPr>
        <w:pStyle w:val="Prrafodelista"/>
        <w:numPr>
          <w:ilvl w:val="0"/>
          <w:numId w:val="31"/>
        </w:numPr>
      </w:pPr>
      <w:r w:rsidRPr="00B47F47">
        <w:t>Las comunidades rurales tienen el doble de rezago educativo respecto al de la población urbana.</w:t>
      </w:r>
    </w:p>
    <w:p w:rsidR="009E4835" w:rsidRPr="00B47F47" w:rsidRDefault="009E4835" w:rsidP="00F42934">
      <w:pPr>
        <w:pStyle w:val="Prrafodelista"/>
        <w:numPr>
          <w:ilvl w:val="0"/>
          <w:numId w:val="31"/>
        </w:numPr>
      </w:pPr>
      <w:r w:rsidRPr="00B47F47">
        <w:lastRenderedPageBreak/>
        <w:t xml:space="preserve">En el caso de la seguridad social, el 82% </w:t>
      </w:r>
      <w:r w:rsidR="00D83EB1" w:rsidRPr="00B47F47">
        <w:t xml:space="preserve">de las personas que viven en localidades rurales </w:t>
      </w:r>
      <w:r w:rsidRPr="00B47F47">
        <w:t>no tiene acceso a estos servicios</w:t>
      </w:r>
      <w:r w:rsidR="00D83EB1" w:rsidRPr="00B47F47">
        <w:t>.</w:t>
      </w:r>
    </w:p>
    <w:p w:rsidR="009E4835" w:rsidRPr="00B47F47" w:rsidRDefault="009E4835" w:rsidP="00F42934">
      <w:pPr>
        <w:pStyle w:val="Prrafodelista"/>
        <w:numPr>
          <w:ilvl w:val="0"/>
          <w:numId w:val="31"/>
        </w:numPr>
      </w:pPr>
      <w:r w:rsidRPr="00B47F47">
        <w:t>El 57% de las personas que vi</w:t>
      </w:r>
      <w:r w:rsidR="00D83EB1" w:rsidRPr="00B47F47">
        <w:t>ven en el sector rural no tiene</w:t>
      </w:r>
      <w:r w:rsidRPr="00B47F47">
        <w:t xml:space="preserve"> acceso a los servicios básicos de vivienda</w:t>
      </w:r>
      <w:r w:rsidR="00D83EB1" w:rsidRPr="00B47F47">
        <w:t>.</w:t>
      </w:r>
    </w:p>
    <w:p w:rsidR="002204DA" w:rsidRDefault="009E4835" w:rsidP="00230ECC">
      <w:pPr>
        <w:pStyle w:val="Prrafodelista"/>
        <w:numPr>
          <w:ilvl w:val="0"/>
          <w:numId w:val="31"/>
        </w:numPr>
      </w:pPr>
      <w:r w:rsidRPr="00B47F47">
        <w:t>El 63% de los habitantes de la</w:t>
      </w:r>
      <w:r w:rsidR="00D83EB1" w:rsidRPr="00B47F47">
        <w:t>s comunidades rurales no cuenta</w:t>
      </w:r>
      <w:r w:rsidRPr="00B47F47">
        <w:t xml:space="preserve"> con el ingreso suficiente para comprar una canasta básica de alimentos, así como para cubrir otras necesidades básicas no alimentarias.</w:t>
      </w:r>
    </w:p>
    <w:p w:rsidR="009E4835" w:rsidRPr="00C21A75" w:rsidRDefault="009E4835" w:rsidP="00C21A75">
      <w:r w:rsidRPr="00C21A75">
        <w:t>Adicionalmente, en el medio rural un elemento que deberá considerarse para su desarrollo es el relacionado con la inclusión financiera. En este sentido, la Encuesta Nacional de Inclusión Financiera</w:t>
      </w:r>
      <w:r w:rsidR="004C2A59" w:rsidRPr="00C21A75">
        <w:t xml:space="preserve"> </w:t>
      </w:r>
      <w:r w:rsidR="004C2A59">
        <w:t>2012</w:t>
      </w:r>
      <w:r w:rsidRPr="009E4835">
        <w:t xml:space="preserve"> </w:t>
      </w:r>
      <w:r w:rsidRPr="00C21A75">
        <w:t>(ENIF) identifica que en nuestro país solamente el 17.8% de la población mayor de edad cuenta con algún tipo de crédito formal.</w:t>
      </w:r>
    </w:p>
    <w:p w:rsidR="003B1890" w:rsidRPr="00224830" w:rsidRDefault="009E4835" w:rsidP="00230ECC">
      <w:r w:rsidRPr="00C21A75">
        <w:t xml:space="preserve">Al contrastar los resultados por tamaño de localidad, las diferencias entre localidades urbanas y rurales son muy significativas. En particular, el 89% de las personas en el medio rural no tiene acceso a un crédito formal. En este sentido, el modelo que ha utilizado la Financiera </w:t>
      </w:r>
      <w:r w:rsidR="00175B7B" w:rsidRPr="00C21A75">
        <w:t xml:space="preserve">Nacional </w:t>
      </w:r>
      <w:r w:rsidRPr="00C21A75">
        <w:t>para el ot</w:t>
      </w:r>
      <w:r w:rsidR="008C4230" w:rsidRPr="00B47F47">
        <w:t xml:space="preserve">orgamiento de crédito mediante </w:t>
      </w:r>
      <w:r w:rsidR="008C4230">
        <w:t>Intermediarios F</w:t>
      </w:r>
      <w:r w:rsidRPr="009E4835">
        <w:t>inancieros</w:t>
      </w:r>
      <w:r w:rsidRPr="00C21A75">
        <w:t xml:space="preserve">, puede ser una opción para incrementar la cobertura a nivel nacional en zonas </w:t>
      </w:r>
      <w:r w:rsidR="00D83EB1" w:rsidRPr="00C21A75">
        <w:t>marginadas</w:t>
      </w:r>
      <w:r w:rsidRPr="00C21A75">
        <w:t xml:space="preserve"> y de sectores tradicionalmente excluidos.</w:t>
      </w:r>
    </w:p>
    <w:p w:rsidR="003B1890" w:rsidRPr="003B1890" w:rsidRDefault="004C2A59" w:rsidP="00C21A75">
      <w:r>
        <w:t>Al analizar con mayor detalle las características de las Unidades Económicas Rurales, d</w:t>
      </w:r>
      <w:r w:rsidR="003B1890" w:rsidRPr="003B1890">
        <w:t>e acuerdo con cifras de SAGARPA-FAO</w:t>
      </w:r>
      <w:r w:rsidR="003B1890" w:rsidRPr="003B1890">
        <w:rPr>
          <w:vertAlign w:val="superscript"/>
        </w:rPr>
        <w:footnoteReference w:id="2"/>
      </w:r>
      <w:r>
        <w:t xml:space="preserve"> </w:t>
      </w:r>
      <w:r w:rsidR="003B1890" w:rsidRPr="003B1890">
        <w:t>la disparidad regional muestra los desafíos en términos de penetración financiera en el sector rural. Mientras que en el Noroeste el 28% de las unidades tuvieron un crédito, en el Sureste solamente el 2.9% lograron obtener financiamiento. La razón de este diferencial se explica por la alta correlación que existe entre el nivel de ingresos y el acceso a crédito. En la región Noroeste el ingreso promedio por UER es de $214,831 pesos, mientras que en el Sureste es de $27,694 pesos.</w:t>
      </w:r>
    </w:p>
    <w:p w:rsidR="003B1890" w:rsidRPr="003B1890" w:rsidRDefault="003B1890" w:rsidP="00C21A75">
      <w:r>
        <w:t>Dado</w:t>
      </w:r>
      <w:r w:rsidRPr="003B1890">
        <w:t xml:space="preserve"> que la capacidad de generación de ingresos está relacionada con la tenencia de activos, en la medida que las unidades se encuentran en condiciones de baja marginalidad, tienen mayores activos y por ende una mayor capacidad de endeudamiento. Es por ello, que el crédito promedio en el Noroeste </w:t>
      </w:r>
      <w:r>
        <w:t xml:space="preserve">del </w:t>
      </w:r>
      <w:r w:rsidRPr="003B1890">
        <w:t>país es de $300,540 pesos y en el Sureste es de $41,389 pesos. Esta diferencia de 7.6 veces es un indicador de la productividad entre estas regiones.</w:t>
      </w:r>
    </w:p>
    <w:p w:rsidR="003B1890" w:rsidRPr="003B1890" w:rsidRDefault="003B1890" w:rsidP="00C21A75">
      <w:r w:rsidRPr="003B1890">
        <w:t>Debido a la dinámica de producción regional, es de esperarse que las regiones más prósperas tengan una mayor participación en el crédito total. En el caso del Noroeste, concentra el 51%, el Occidente el 15%, el Noreste el 9% y el Sureste el 4%.</w:t>
      </w:r>
    </w:p>
    <w:p w:rsidR="003B1890" w:rsidRDefault="003B1890" w:rsidP="00C21A75">
      <w:r w:rsidRPr="003B1890">
        <w:t xml:space="preserve">Sin embargo, no solamente es importante el acceso </w:t>
      </w:r>
      <w:r w:rsidR="001C47E0">
        <w:t>al</w:t>
      </w:r>
      <w:r w:rsidRPr="003B1890">
        <w:t xml:space="preserve"> crédito, sino el uso que se le da al mismo. El 70% del crédito se utilizó para la compra de insumos, el 9.5% para la adquisición de maquinaria y/o equipo, el 9.4% para la compra de animales y/o plantaciones y el 5.7% tanto para la construcción, como para la adquisición de otro tipo de bienes.</w:t>
      </w:r>
    </w:p>
    <w:p w:rsidR="003B1890" w:rsidRPr="003B1890" w:rsidRDefault="003B1890" w:rsidP="00C21A75"/>
    <w:p w:rsidR="003B1890" w:rsidRPr="00F21259" w:rsidRDefault="007B7E4D" w:rsidP="008E11AE">
      <w:pPr>
        <w:pStyle w:val="Graficas"/>
        <w:rPr>
          <w:sz w:val="24"/>
        </w:rPr>
      </w:pPr>
      <w:r>
        <w:t>Gráfica 20</w:t>
      </w:r>
      <w:r w:rsidR="003B1890" w:rsidRPr="003B1890">
        <w:t>. Distribución (%) del Uso de Crédito por UER</w:t>
      </w:r>
    </w:p>
    <w:p w:rsidR="003B1890" w:rsidRPr="00F443D9" w:rsidRDefault="00D85239" w:rsidP="008E11AE">
      <w:pPr>
        <w:ind w:firstLine="0"/>
        <w:jc w:val="center"/>
      </w:pPr>
      <w:r>
        <w:rPr>
          <w:rFonts w:ascii="Adobe Caslon Pro" w:hAnsi="Adobe Caslon Pro"/>
          <w:noProof/>
          <w:sz w:val="24"/>
          <w:lang w:eastAsia="es-MX"/>
        </w:rPr>
        <w:drawing>
          <wp:inline distT="0" distB="0" distL="0" distR="0" wp14:anchorId="0DF70BFD" wp14:editId="5993A96C">
            <wp:extent cx="3115945" cy="1593850"/>
            <wp:effectExtent l="19050" t="0" r="825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a:extLst>
                        <a:ext uri="{28A0092B-C50C-407E-A947-70E740481C1C}">
                          <a14:useLocalDpi xmlns:a14="http://schemas.microsoft.com/office/drawing/2010/main" val="0"/>
                        </a:ext>
                      </a:extLst>
                    </a:blip>
                    <a:srcRect t="12538" b="10703"/>
                    <a:stretch>
                      <a:fillRect/>
                    </a:stretch>
                  </pic:blipFill>
                  <pic:spPr bwMode="auto">
                    <a:xfrm>
                      <a:off x="0" y="0"/>
                      <a:ext cx="3115945" cy="1593850"/>
                    </a:xfrm>
                    <a:prstGeom prst="rect">
                      <a:avLst/>
                    </a:prstGeom>
                    <a:noFill/>
                  </pic:spPr>
                </pic:pic>
              </a:graphicData>
            </a:graphic>
          </wp:inline>
        </w:drawing>
      </w:r>
    </w:p>
    <w:p w:rsidR="003B1890" w:rsidRPr="00F21259" w:rsidRDefault="003B1890" w:rsidP="008E11AE">
      <w:pPr>
        <w:pStyle w:val="Fuentesyreferencias"/>
      </w:pPr>
      <w:r w:rsidRPr="003B1890">
        <w:t>Fuente:</w:t>
      </w:r>
      <w:r w:rsidR="008C4230">
        <w:t xml:space="preserve"> </w:t>
      </w:r>
      <w:r w:rsidRPr="003B1890">
        <w:t>SAGARPA-FAO.</w:t>
      </w:r>
    </w:p>
    <w:p w:rsidR="003B1890" w:rsidRPr="00C21A75" w:rsidRDefault="003B1890" w:rsidP="00C21A75"/>
    <w:p w:rsidR="009E4835" w:rsidRPr="00C21A75" w:rsidRDefault="009E4835" w:rsidP="00230ECC">
      <w:pPr>
        <w:pStyle w:val="Ttulo3"/>
      </w:pPr>
      <w:r w:rsidRPr="00C21A75">
        <w:t>Las Metas del Programa Sectorial</w:t>
      </w:r>
    </w:p>
    <w:p w:rsidR="009E4835" w:rsidRPr="00B47F47" w:rsidRDefault="009E4835" w:rsidP="00B47F47">
      <w:r w:rsidRPr="00B47F47">
        <w:lastRenderedPageBreak/>
        <w:t xml:space="preserve">Adicionalmente a los retos señalados anteriormente, la estrategia en materia de financiamiento debe considerar la política pública que </w:t>
      </w:r>
      <w:r w:rsidR="0025015D" w:rsidRPr="00B47F47">
        <w:t>la SAGARPA diseñó</w:t>
      </w:r>
      <w:r w:rsidRPr="00B47F47">
        <w:t xml:space="preserve"> en el Programa Sectorial de Desarrollo Agropecuario, P</w:t>
      </w:r>
      <w:r w:rsidR="00D83EB1" w:rsidRPr="00B47F47">
        <w:t>esquero y Alimentario 2013-2018.</w:t>
      </w:r>
      <w:r w:rsidRPr="00B47F47">
        <w:t xml:space="preserve"> </w:t>
      </w:r>
      <w:r w:rsidR="00D83EB1" w:rsidRPr="00B47F47">
        <w:t>P</w:t>
      </w:r>
      <w:r w:rsidRPr="00B47F47">
        <w:t>articularmente en las metas establecidas para cada uno de sus subsectores, con el fin de garantizar la seguridad alimentaria como una política de Estado.</w:t>
      </w:r>
    </w:p>
    <w:p w:rsidR="009E4835" w:rsidRPr="00B47F47" w:rsidRDefault="009E4835" w:rsidP="00B47F47">
      <w:r w:rsidRPr="00B47F47">
        <w:t>En particular, en dicho Programa Sectorial se han establecido las siguientes metas de producción</w:t>
      </w:r>
      <w:r w:rsidR="007A020B" w:rsidRPr="00B47F47">
        <w:t>:</w:t>
      </w:r>
    </w:p>
    <w:p w:rsidR="00175B7B" w:rsidRPr="00B47F47" w:rsidRDefault="00175B7B" w:rsidP="00B47F47"/>
    <w:p w:rsidR="009E4835" w:rsidRPr="005A2F42" w:rsidRDefault="007018D0" w:rsidP="00296B12">
      <w:pPr>
        <w:pStyle w:val="Cuadros"/>
      </w:pPr>
      <w:r>
        <w:t>Tabla 10</w:t>
      </w:r>
      <w:r w:rsidR="008B1AAB" w:rsidRPr="005A2F42">
        <w:t>. Metas de la Producción en los principales productos del Subsector Agrícola</w:t>
      </w:r>
      <w:r w:rsidR="00F04915">
        <w:t>.</w:t>
      </w:r>
    </w:p>
    <w:p w:rsidR="008B1AAB" w:rsidRDefault="00250D69" w:rsidP="00250D69">
      <w:pPr>
        <w:ind w:firstLine="0"/>
        <w:jc w:val="center"/>
      </w:pPr>
      <w:r w:rsidRPr="00250D69">
        <w:rPr>
          <w:noProof/>
          <w:lang w:eastAsia="es-MX"/>
        </w:rPr>
        <w:drawing>
          <wp:inline distT="0" distB="0" distL="0" distR="0" wp14:anchorId="10D77D23" wp14:editId="35E86695">
            <wp:extent cx="2790089" cy="1672225"/>
            <wp:effectExtent l="25400" t="25400" r="29845" b="29845"/>
            <wp:docPr id="4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srcRect/>
                    <a:stretch>
                      <a:fillRect/>
                    </a:stretch>
                  </pic:blipFill>
                  <pic:spPr bwMode="auto">
                    <a:xfrm>
                      <a:off x="0" y="0"/>
                      <a:ext cx="2791979" cy="1673358"/>
                    </a:xfrm>
                    <a:prstGeom prst="rect">
                      <a:avLst/>
                    </a:prstGeom>
                    <a:noFill/>
                    <a:ln w="9525">
                      <a:solidFill>
                        <a:schemeClr val="tx1"/>
                      </a:solidFill>
                      <a:miter lim="800000"/>
                      <a:headEnd/>
                      <a:tailEnd/>
                    </a:ln>
                  </pic:spPr>
                </pic:pic>
              </a:graphicData>
            </a:graphic>
          </wp:inline>
        </w:drawing>
      </w:r>
    </w:p>
    <w:p w:rsidR="008B1AAB" w:rsidRPr="008B1AAB" w:rsidRDefault="008B1AAB" w:rsidP="00296B12">
      <w:pPr>
        <w:pStyle w:val="Fuentesyreferencias"/>
      </w:pPr>
      <w:r w:rsidRPr="008B1AAB">
        <w:t>Fuente: SAGARPA.</w:t>
      </w:r>
    </w:p>
    <w:p w:rsidR="00FE4DD4" w:rsidRDefault="00FE4DD4" w:rsidP="00F443D9"/>
    <w:p w:rsidR="009E4835" w:rsidRPr="005A2F42" w:rsidRDefault="007018D0" w:rsidP="00296B12">
      <w:pPr>
        <w:pStyle w:val="Cuadros"/>
      </w:pPr>
      <w:r>
        <w:t>Tabla 11</w:t>
      </w:r>
      <w:r w:rsidR="008B1AAB" w:rsidRPr="005A2F42">
        <w:t>. Metas de Producción en los principales productos del Subsector Pecuario</w:t>
      </w:r>
      <w:r w:rsidR="00F04915">
        <w:t>.</w:t>
      </w:r>
    </w:p>
    <w:p w:rsidR="008B1AAB" w:rsidRDefault="00250D69" w:rsidP="00250D69">
      <w:pPr>
        <w:ind w:firstLine="0"/>
        <w:jc w:val="center"/>
      </w:pPr>
      <w:r w:rsidRPr="00250D69">
        <w:rPr>
          <w:noProof/>
          <w:lang w:eastAsia="es-MX"/>
        </w:rPr>
        <w:drawing>
          <wp:inline distT="0" distB="0" distL="0" distR="0" wp14:anchorId="2FB424D1" wp14:editId="2CF532BB">
            <wp:extent cx="2918304" cy="1249603"/>
            <wp:effectExtent l="19050" t="0" r="0" b="0"/>
            <wp:docPr id="1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srcRect/>
                    <a:stretch>
                      <a:fillRect/>
                    </a:stretch>
                  </pic:blipFill>
                  <pic:spPr bwMode="auto">
                    <a:xfrm>
                      <a:off x="0" y="0"/>
                      <a:ext cx="2919489" cy="1250110"/>
                    </a:xfrm>
                    <a:prstGeom prst="rect">
                      <a:avLst/>
                    </a:prstGeom>
                    <a:noFill/>
                    <a:ln w="9525">
                      <a:noFill/>
                      <a:miter lim="800000"/>
                      <a:headEnd/>
                      <a:tailEnd/>
                    </a:ln>
                  </pic:spPr>
                </pic:pic>
              </a:graphicData>
            </a:graphic>
          </wp:inline>
        </w:drawing>
      </w:r>
    </w:p>
    <w:p w:rsidR="008B1AAB" w:rsidRPr="008B1AAB" w:rsidRDefault="008B1AAB" w:rsidP="00296B12">
      <w:pPr>
        <w:pStyle w:val="Fuentesyreferencias"/>
      </w:pPr>
      <w:r w:rsidRPr="008B1AAB">
        <w:t>Fuente: SAGARPA.</w:t>
      </w:r>
    </w:p>
    <w:p w:rsidR="003B1890" w:rsidRPr="00B47F47" w:rsidRDefault="003B1890" w:rsidP="00F443D9"/>
    <w:p w:rsidR="008B1AAB" w:rsidRPr="008B1AAB" w:rsidRDefault="007018D0" w:rsidP="00296B12">
      <w:pPr>
        <w:pStyle w:val="Cuadros"/>
      </w:pPr>
      <w:r>
        <w:t>Tabla 12</w:t>
      </w:r>
      <w:r w:rsidR="008B1AAB" w:rsidRPr="005A2F42">
        <w:t>. Metas de Producción en los principales productos del Subsector Pesquero</w:t>
      </w:r>
      <w:r w:rsidR="00F04915">
        <w:t>.</w:t>
      </w:r>
      <w:r w:rsidR="008B1AAB" w:rsidRPr="008B1AAB">
        <w:t xml:space="preserve"> </w:t>
      </w:r>
    </w:p>
    <w:p w:rsidR="009E4835" w:rsidRPr="009E4835" w:rsidRDefault="00250D69" w:rsidP="00296B12">
      <w:pPr>
        <w:ind w:firstLine="0"/>
        <w:jc w:val="center"/>
        <w:rPr>
          <w:rFonts w:ascii="Adobe Caslon Pro" w:hAnsi="Adobe Caslon Pro"/>
        </w:rPr>
      </w:pPr>
      <w:r w:rsidRPr="00250D69">
        <w:rPr>
          <w:noProof/>
          <w:lang w:eastAsia="es-MX"/>
        </w:rPr>
        <w:drawing>
          <wp:inline distT="0" distB="0" distL="0" distR="0" wp14:anchorId="55A7EA60" wp14:editId="25D758CA">
            <wp:extent cx="2956034" cy="964409"/>
            <wp:effectExtent l="25400" t="25400" r="15875" b="26670"/>
            <wp:docPr id="44"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srcRect/>
                    <a:stretch>
                      <a:fillRect/>
                    </a:stretch>
                  </pic:blipFill>
                  <pic:spPr bwMode="auto">
                    <a:xfrm>
                      <a:off x="0" y="0"/>
                      <a:ext cx="2962594" cy="966549"/>
                    </a:xfrm>
                    <a:prstGeom prst="rect">
                      <a:avLst/>
                    </a:prstGeom>
                    <a:noFill/>
                    <a:ln w="9525">
                      <a:solidFill>
                        <a:schemeClr val="tx1"/>
                      </a:solidFill>
                      <a:miter lim="800000"/>
                      <a:headEnd/>
                      <a:tailEnd/>
                    </a:ln>
                  </pic:spPr>
                </pic:pic>
              </a:graphicData>
            </a:graphic>
          </wp:inline>
        </w:drawing>
      </w:r>
    </w:p>
    <w:p w:rsidR="008B1AAB" w:rsidRPr="008B1AAB" w:rsidRDefault="008B1AAB" w:rsidP="00296B12">
      <w:pPr>
        <w:pStyle w:val="Fuentesyreferencias"/>
      </w:pPr>
      <w:r w:rsidRPr="008B1AAB">
        <w:t>Fuente: SAGARPA.</w:t>
      </w:r>
    </w:p>
    <w:p w:rsidR="00116410" w:rsidRPr="00C21A75" w:rsidRDefault="00116410" w:rsidP="00C21A75"/>
    <w:p w:rsidR="00D83EB1" w:rsidRPr="00C21A75" w:rsidRDefault="009E4835" w:rsidP="00C21A75">
      <w:r w:rsidRPr="00C21A75">
        <w:t xml:space="preserve">Como puede apreciarse, </w:t>
      </w:r>
      <w:r w:rsidR="00175B7B" w:rsidRPr="00C21A75">
        <w:t xml:space="preserve">en </w:t>
      </w:r>
      <w:r w:rsidRPr="00C21A75">
        <w:t xml:space="preserve">el Programa Sectorial </w:t>
      </w:r>
      <w:r w:rsidR="00175B7B" w:rsidRPr="00C21A75">
        <w:t xml:space="preserve">de la SAGARPA </w:t>
      </w:r>
      <w:r w:rsidRPr="00B47F47">
        <w:t>se ha</w:t>
      </w:r>
      <w:r w:rsidR="00250D69">
        <w:t>n</w:t>
      </w:r>
      <w:r w:rsidRPr="00B47F47">
        <w:t xml:space="preserve"> planteado metas importantes con el propósito de alcanzar la seguridad alimentaria de la población. En este caso, será de mayor importancia que los programas y productos que ofrezca la Financiera Nacional, estén alineados para </w:t>
      </w:r>
      <w:r w:rsidR="00D83EB1" w:rsidRPr="00B47F47">
        <w:t>la consecución de las metas planteadas.</w:t>
      </w:r>
      <w:r w:rsidR="00D83EB1">
        <w:t xml:space="preserve"> </w:t>
      </w:r>
    </w:p>
    <w:p w:rsidR="00250D69" w:rsidRPr="00C21A75" w:rsidRDefault="007A020B" w:rsidP="00250D69">
      <w:r w:rsidRPr="00C21A75">
        <w:t xml:space="preserve">Para alcanzar </w:t>
      </w:r>
      <w:r w:rsidRPr="00B47F47">
        <w:t xml:space="preserve">las metas de producción planteadas en el Programa Sectorial de SAGARPA, </w:t>
      </w:r>
      <w:r w:rsidR="003A0D1F">
        <w:t xml:space="preserve">cálculos internos indican que </w:t>
      </w:r>
      <w:r w:rsidRPr="00C21A75">
        <w:t>se necesit</w:t>
      </w:r>
      <w:r w:rsidR="00250D69">
        <w:t>aría</w:t>
      </w:r>
      <w:r w:rsidR="00FB66A8">
        <w:t>n</w:t>
      </w:r>
      <w:r w:rsidR="00250D69">
        <w:t xml:space="preserve"> inversiones por $86,848 millones de pesos.</w:t>
      </w:r>
    </w:p>
    <w:p w:rsidR="00250D69" w:rsidRPr="00C21A75" w:rsidRDefault="00250D69" w:rsidP="00C21A75"/>
    <w:p w:rsidR="002C6414" w:rsidRDefault="007018D0" w:rsidP="00C63E68">
      <w:pPr>
        <w:pStyle w:val="Cuadros"/>
      </w:pPr>
      <w:r>
        <w:t>Tabla 13</w:t>
      </w:r>
      <w:r w:rsidRPr="00B47F47">
        <w:t xml:space="preserve">. </w:t>
      </w:r>
      <w:r w:rsidR="002C6414" w:rsidRPr="007A020B">
        <w:t>Inversiones Requeridas para Cumplir las Metas Agropecuarias</w:t>
      </w:r>
      <w:r w:rsidR="00F04915">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815"/>
        <w:gridCol w:w="1493"/>
      </w:tblGrid>
      <w:tr w:rsidR="00172FFC" w:rsidRPr="009B2393" w:rsidTr="00172FFC">
        <w:trPr>
          <w:jc w:val="center"/>
        </w:trPr>
        <w:tc>
          <w:tcPr>
            <w:tcW w:w="1559" w:type="dxa"/>
            <w:tcBorders>
              <w:top w:val="single" w:sz="4" w:space="0" w:color="auto"/>
              <w:left w:val="single" w:sz="4" w:space="0" w:color="auto"/>
              <w:bottom w:val="single" w:sz="4" w:space="0" w:color="auto"/>
              <w:right w:val="single" w:sz="4" w:space="0" w:color="auto"/>
            </w:tcBorders>
            <w:shd w:val="clear" w:color="auto" w:fill="4F6228"/>
            <w:vAlign w:val="center"/>
          </w:tcPr>
          <w:p w:rsidR="00172FFC" w:rsidRPr="009B2393" w:rsidRDefault="00172FFC" w:rsidP="00172FFC">
            <w:pPr>
              <w:ind w:firstLine="0"/>
              <w:jc w:val="center"/>
              <w:rPr>
                <w:b/>
              </w:rPr>
            </w:pPr>
            <w:r w:rsidRPr="009B2393">
              <w:rPr>
                <w:b/>
              </w:rPr>
              <w:t>Sector</w:t>
            </w:r>
          </w:p>
        </w:tc>
        <w:tc>
          <w:tcPr>
            <w:tcW w:w="1815" w:type="dxa"/>
            <w:tcBorders>
              <w:top w:val="single" w:sz="4" w:space="0" w:color="auto"/>
              <w:left w:val="single" w:sz="4" w:space="0" w:color="auto"/>
              <w:bottom w:val="single" w:sz="4" w:space="0" w:color="auto"/>
              <w:right w:val="single" w:sz="4" w:space="0" w:color="auto"/>
            </w:tcBorders>
            <w:shd w:val="clear" w:color="auto" w:fill="4F6228"/>
          </w:tcPr>
          <w:p w:rsidR="00172FFC" w:rsidRPr="009B2393" w:rsidRDefault="00172FFC" w:rsidP="00172FFC">
            <w:pPr>
              <w:ind w:firstLine="0"/>
              <w:jc w:val="center"/>
              <w:rPr>
                <w:b/>
              </w:rPr>
            </w:pPr>
            <w:r w:rsidRPr="009B2393">
              <w:rPr>
                <w:b/>
              </w:rPr>
              <w:t>Inversión requerida (mdp)</w:t>
            </w:r>
          </w:p>
        </w:tc>
        <w:tc>
          <w:tcPr>
            <w:tcW w:w="1493" w:type="dxa"/>
            <w:tcBorders>
              <w:top w:val="single" w:sz="4" w:space="0" w:color="auto"/>
              <w:left w:val="single" w:sz="4" w:space="0" w:color="auto"/>
              <w:bottom w:val="single" w:sz="4" w:space="0" w:color="auto"/>
              <w:right w:val="single" w:sz="4" w:space="0" w:color="auto"/>
            </w:tcBorders>
            <w:shd w:val="clear" w:color="auto" w:fill="4F6228"/>
          </w:tcPr>
          <w:p w:rsidR="00172FFC" w:rsidRPr="009B2393" w:rsidRDefault="00172FFC" w:rsidP="00172FFC">
            <w:pPr>
              <w:ind w:firstLine="0"/>
              <w:jc w:val="center"/>
              <w:rPr>
                <w:b/>
              </w:rPr>
            </w:pPr>
            <w:r w:rsidRPr="009B2393">
              <w:rPr>
                <w:b/>
              </w:rPr>
              <w:t>Participación (%)</w:t>
            </w:r>
          </w:p>
        </w:tc>
      </w:tr>
      <w:tr w:rsidR="00172FFC" w:rsidRPr="003D421F" w:rsidTr="00172FFC">
        <w:trPr>
          <w:jc w:val="center"/>
        </w:trPr>
        <w:tc>
          <w:tcPr>
            <w:tcW w:w="1559" w:type="dxa"/>
            <w:tcBorders>
              <w:top w:val="single" w:sz="4" w:space="0" w:color="auto"/>
            </w:tcBorders>
            <w:shd w:val="clear" w:color="auto" w:fill="auto"/>
          </w:tcPr>
          <w:p w:rsidR="00172FFC" w:rsidRPr="003D421F" w:rsidRDefault="00172FFC" w:rsidP="00172FFC">
            <w:pPr>
              <w:ind w:firstLine="165"/>
            </w:pPr>
            <w:r w:rsidRPr="003D421F">
              <w:t>Agrícola</w:t>
            </w:r>
          </w:p>
        </w:tc>
        <w:tc>
          <w:tcPr>
            <w:tcW w:w="1815" w:type="dxa"/>
            <w:tcBorders>
              <w:top w:val="single" w:sz="4" w:space="0" w:color="auto"/>
            </w:tcBorders>
            <w:shd w:val="clear" w:color="auto" w:fill="auto"/>
          </w:tcPr>
          <w:p w:rsidR="00172FFC" w:rsidRPr="003D421F" w:rsidRDefault="00172FFC" w:rsidP="00172FFC">
            <w:pPr>
              <w:ind w:right="442" w:firstLine="0"/>
              <w:jc w:val="right"/>
            </w:pPr>
            <w:r w:rsidRPr="003D421F">
              <w:t>48,063</w:t>
            </w:r>
          </w:p>
        </w:tc>
        <w:tc>
          <w:tcPr>
            <w:tcW w:w="1493" w:type="dxa"/>
            <w:tcBorders>
              <w:top w:val="single" w:sz="4" w:space="0" w:color="auto"/>
            </w:tcBorders>
            <w:shd w:val="clear" w:color="auto" w:fill="auto"/>
          </w:tcPr>
          <w:p w:rsidR="00172FFC" w:rsidRPr="003D421F" w:rsidRDefault="00172FFC" w:rsidP="00172FFC">
            <w:pPr>
              <w:ind w:right="457" w:firstLine="0"/>
              <w:jc w:val="right"/>
            </w:pPr>
            <w:r w:rsidRPr="003D421F">
              <w:t>55.3</w:t>
            </w:r>
          </w:p>
        </w:tc>
      </w:tr>
      <w:tr w:rsidR="00172FFC" w:rsidRPr="003D421F" w:rsidTr="00172FFC">
        <w:trPr>
          <w:jc w:val="center"/>
        </w:trPr>
        <w:tc>
          <w:tcPr>
            <w:tcW w:w="1559" w:type="dxa"/>
            <w:shd w:val="clear" w:color="auto" w:fill="auto"/>
          </w:tcPr>
          <w:p w:rsidR="00172FFC" w:rsidRPr="003D421F" w:rsidRDefault="00172FFC" w:rsidP="00172FFC">
            <w:pPr>
              <w:ind w:firstLine="165"/>
            </w:pPr>
            <w:r w:rsidRPr="003D421F">
              <w:t>Pecuario</w:t>
            </w:r>
          </w:p>
        </w:tc>
        <w:tc>
          <w:tcPr>
            <w:tcW w:w="1815" w:type="dxa"/>
            <w:shd w:val="clear" w:color="auto" w:fill="auto"/>
          </w:tcPr>
          <w:p w:rsidR="00172FFC" w:rsidRPr="003D421F" w:rsidRDefault="00172FFC" w:rsidP="00172FFC">
            <w:pPr>
              <w:ind w:right="442" w:firstLine="0"/>
              <w:jc w:val="right"/>
            </w:pPr>
            <w:r w:rsidRPr="003D421F">
              <w:t>37,712</w:t>
            </w:r>
          </w:p>
        </w:tc>
        <w:tc>
          <w:tcPr>
            <w:tcW w:w="1493" w:type="dxa"/>
            <w:shd w:val="clear" w:color="auto" w:fill="auto"/>
          </w:tcPr>
          <w:p w:rsidR="00172FFC" w:rsidRPr="003D421F" w:rsidRDefault="00172FFC" w:rsidP="00172FFC">
            <w:pPr>
              <w:ind w:right="457" w:firstLine="0"/>
              <w:jc w:val="right"/>
            </w:pPr>
            <w:r w:rsidRPr="003D421F">
              <w:t>43.4</w:t>
            </w:r>
          </w:p>
        </w:tc>
      </w:tr>
      <w:tr w:rsidR="00172FFC" w:rsidRPr="003D421F" w:rsidTr="00172FFC">
        <w:trPr>
          <w:jc w:val="center"/>
        </w:trPr>
        <w:tc>
          <w:tcPr>
            <w:tcW w:w="1559" w:type="dxa"/>
            <w:shd w:val="clear" w:color="auto" w:fill="auto"/>
          </w:tcPr>
          <w:p w:rsidR="00172FFC" w:rsidRPr="003D421F" w:rsidRDefault="00172FFC" w:rsidP="00172FFC">
            <w:pPr>
              <w:ind w:firstLine="165"/>
            </w:pPr>
            <w:r w:rsidRPr="003D421F">
              <w:t>Pesquero</w:t>
            </w:r>
          </w:p>
        </w:tc>
        <w:tc>
          <w:tcPr>
            <w:tcW w:w="1815" w:type="dxa"/>
            <w:shd w:val="clear" w:color="auto" w:fill="auto"/>
          </w:tcPr>
          <w:p w:rsidR="00172FFC" w:rsidRPr="003D421F" w:rsidRDefault="00172FFC" w:rsidP="00172FFC">
            <w:pPr>
              <w:ind w:right="442" w:firstLine="0"/>
              <w:jc w:val="right"/>
            </w:pPr>
            <w:r w:rsidRPr="003D421F">
              <w:t>1,073</w:t>
            </w:r>
          </w:p>
        </w:tc>
        <w:tc>
          <w:tcPr>
            <w:tcW w:w="1493" w:type="dxa"/>
            <w:shd w:val="clear" w:color="auto" w:fill="auto"/>
          </w:tcPr>
          <w:p w:rsidR="00172FFC" w:rsidRPr="003D421F" w:rsidRDefault="00172FFC" w:rsidP="00172FFC">
            <w:pPr>
              <w:ind w:right="457" w:firstLine="0"/>
              <w:jc w:val="right"/>
            </w:pPr>
            <w:r w:rsidRPr="003D421F">
              <w:t>1.3</w:t>
            </w:r>
          </w:p>
        </w:tc>
      </w:tr>
      <w:tr w:rsidR="00172FFC" w:rsidRPr="003D421F" w:rsidTr="00172FFC">
        <w:trPr>
          <w:jc w:val="center"/>
        </w:trPr>
        <w:tc>
          <w:tcPr>
            <w:tcW w:w="1559" w:type="dxa"/>
            <w:shd w:val="clear" w:color="auto" w:fill="auto"/>
          </w:tcPr>
          <w:p w:rsidR="00172FFC" w:rsidRPr="003D421F" w:rsidRDefault="00172FFC" w:rsidP="00172FFC">
            <w:pPr>
              <w:ind w:firstLine="165"/>
            </w:pPr>
            <w:r w:rsidRPr="003D421F">
              <w:lastRenderedPageBreak/>
              <w:t>Total</w:t>
            </w:r>
          </w:p>
        </w:tc>
        <w:tc>
          <w:tcPr>
            <w:tcW w:w="1815" w:type="dxa"/>
            <w:shd w:val="clear" w:color="auto" w:fill="auto"/>
          </w:tcPr>
          <w:p w:rsidR="00172FFC" w:rsidRPr="003D421F" w:rsidRDefault="00172FFC" w:rsidP="00172FFC">
            <w:pPr>
              <w:ind w:right="442" w:firstLine="0"/>
              <w:jc w:val="right"/>
            </w:pPr>
            <w:r w:rsidRPr="003D421F">
              <w:t>86,848</w:t>
            </w:r>
          </w:p>
        </w:tc>
        <w:tc>
          <w:tcPr>
            <w:tcW w:w="1493" w:type="dxa"/>
            <w:shd w:val="clear" w:color="auto" w:fill="auto"/>
          </w:tcPr>
          <w:p w:rsidR="00172FFC" w:rsidRPr="003D421F" w:rsidRDefault="00172FFC" w:rsidP="00172FFC">
            <w:pPr>
              <w:ind w:right="457" w:firstLine="0"/>
              <w:jc w:val="right"/>
            </w:pPr>
            <w:r w:rsidRPr="003D421F">
              <w:t>100.0</w:t>
            </w:r>
          </w:p>
        </w:tc>
      </w:tr>
    </w:tbl>
    <w:p w:rsidR="007A020B" w:rsidRPr="00172FFC" w:rsidRDefault="007A020B" w:rsidP="00172FFC">
      <w:pPr>
        <w:pStyle w:val="Fuentesyreferencias"/>
      </w:pPr>
      <w:r w:rsidRPr="00172FFC">
        <w:t>Fuente: Cálculos elaborados por Financiera Nacional, 2013.</w:t>
      </w:r>
    </w:p>
    <w:p w:rsidR="007A020B" w:rsidRPr="00C21A75" w:rsidRDefault="007A020B" w:rsidP="00C21A75"/>
    <w:p w:rsidR="009E4835" w:rsidRPr="00C21A75" w:rsidRDefault="009E4835" w:rsidP="00336FEF">
      <w:pPr>
        <w:pStyle w:val="Ttulo3"/>
      </w:pPr>
      <w:r w:rsidRPr="00C21A75">
        <w:t>Conclusión</w:t>
      </w:r>
    </w:p>
    <w:p w:rsidR="009E4835" w:rsidRPr="00B47F47" w:rsidRDefault="009E4835" w:rsidP="00B47F47">
      <w:r w:rsidRPr="00C21A75">
        <w:t xml:space="preserve">De lo anteriormente expuesto, existen importantes retos que deberán resolverse en el corto y mediano plazo, a fin de que </w:t>
      </w:r>
      <w:r w:rsidR="00CF14D8" w:rsidRPr="00B47F47">
        <w:t>los</w:t>
      </w:r>
      <w:r w:rsidRPr="00B47F47">
        <w:t xml:space="preserve"> sector</w:t>
      </w:r>
      <w:r w:rsidR="00CF14D8" w:rsidRPr="00B47F47">
        <w:t>es</w:t>
      </w:r>
      <w:r w:rsidRPr="00B47F47">
        <w:t xml:space="preserve"> agroalimentario y rural puedan convertirse en motores de desarrollo pa</w:t>
      </w:r>
      <w:r w:rsidR="00D83EB1" w:rsidRPr="00B47F47">
        <w:t>ra el crecimiento económico y</w:t>
      </w:r>
      <w:r w:rsidRPr="00B47F47">
        <w:t xml:space="preserve"> creación de empleos.</w:t>
      </w:r>
    </w:p>
    <w:p w:rsidR="00395C77" w:rsidRPr="00B47F47" w:rsidRDefault="00846E09" w:rsidP="00B47F47">
      <w:r w:rsidRPr="00B47F47">
        <w:t xml:space="preserve">Para lograrlo, </w:t>
      </w:r>
      <w:r w:rsidR="003F243D" w:rsidRPr="00B47F47">
        <w:t>se requiere</w:t>
      </w:r>
      <w:r w:rsidRPr="00B47F47">
        <w:t xml:space="preserve"> </w:t>
      </w:r>
      <w:r w:rsidR="00FB66A8">
        <w:t xml:space="preserve">de </w:t>
      </w:r>
      <w:r w:rsidRPr="00B47F47">
        <w:t xml:space="preserve">una coordinación </w:t>
      </w:r>
      <w:r w:rsidR="000F6EDD" w:rsidRPr="00B47F47">
        <w:t xml:space="preserve">efectiva </w:t>
      </w:r>
      <w:r w:rsidR="005A6862" w:rsidRPr="00B47F47">
        <w:t xml:space="preserve">entre las diversas entidades de la Administración Pública Federal </w:t>
      </w:r>
      <w:r w:rsidRPr="00B47F47">
        <w:t xml:space="preserve">donde el objetivo principal sea </w:t>
      </w:r>
      <w:r w:rsidR="003F243D" w:rsidRPr="00B47F47">
        <w:t>incrementar la productividad y el nivel de vida de las personas cuya actividad está enfocada en el sector</w:t>
      </w:r>
      <w:r w:rsidR="002643BF" w:rsidRPr="00B47F47">
        <w:t xml:space="preserve"> primario</w:t>
      </w:r>
      <w:r w:rsidR="003F243D" w:rsidRPr="00B47F47">
        <w:t xml:space="preserve">. </w:t>
      </w:r>
      <w:r w:rsidR="005A6862" w:rsidRPr="00B47F47">
        <w:t>Asimismo,</w:t>
      </w:r>
      <w:r w:rsidR="005A6862">
        <w:t xml:space="preserve"> </w:t>
      </w:r>
      <w:r w:rsidR="003A0D1F">
        <w:t>se deben</w:t>
      </w:r>
      <w:r w:rsidR="003A0D1F" w:rsidRPr="00C21A75">
        <w:t xml:space="preserve"> </w:t>
      </w:r>
      <w:r w:rsidR="005A6862" w:rsidRPr="00C21A75">
        <w:t>impulsar esquemas que faciliten la organización de productores, la implementación de tecnolog</w:t>
      </w:r>
      <w:r w:rsidR="00395C77" w:rsidRPr="00C21A75">
        <w:t>ía y</w:t>
      </w:r>
      <w:r w:rsidR="005A6862" w:rsidRPr="00C21A75">
        <w:t xml:space="preserve"> </w:t>
      </w:r>
      <w:r w:rsidR="00395C77" w:rsidRPr="00C21A75">
        <w:t>el desarrollo</w:t>
      </w:r>
      <w:r w:rsidR="005A6862" w:rsidRPr="00B47F47">
        <w:t xml:space="preserve"> </w:t>
      </w:r>
      <w:r w:rsidR="00395C77" w:rsidRPr="00B47F47">
        <w:t>de</w:t>
      </w:r>
      <w:r w:rsidR="005A6862" w:rsidRPr="00B47F47">
        <w:t xml:space="preserve"> proyectos rentables</w:t>
      </w:r>
      <w:r w:rsidR="00395C77" w:rsidRPr="00B47F47">
        <w:t xml:space="preserve">. </w:t>
      </w:r>
      <w:r w:rsidR="005A6862" w:rsidRPr="00B47F47">
        <w:t>De esta forma, se podrá romper con la inercia que ha vivido el sector primario durante décadas</w:t>
      </w:r>
      <w:r w:rsidR="00395C77" w:rsidRPr="00B47F47">
        <w:t>.</w:t>
      </w:r>
    </w:p>
    <w:p w:rsidR="00336FEF" w:rsidRDefault="00336FEF" w:rsidP="00336FEF">
      <w:bookmarkStart w:id="2" w:name="_Toc259122270"/>
      <w:bookmarkStart w:id="3" w:name="_Toc386131526"/>
    </w:p>
    <w:p w:rsidR="00CB6CEA" w:rsidRPr="00C11CFB" w:rsidRDefault="00CB6CEA" w:rsidP="00C21A75">
      <w:pPr>
        <w:pStyle w:val="Ttulo1"/>
      </w:pPr>
      <w:r w:rsidRPr="00C11CFB">
        <w:t>Alineación a Metas Nacionales</w:t>
      </w:r>
      <w:bookmarkEnd w:id="2"/>
      <w:r w:rsidR="002643BF">
        <w:t>.</w:t>
      </w:r>
      <w:bookmarkEnd w:id="3"/>
    </w:p>
    <w:p w:rsidR="00CB6CEA" w:rsidRPr="00C21A75" w:rsidRDefault="00CB6CEA" w:rsidP="00C21A75"/>
    <w:p w:rsidR="00CB6CEA" w:rsidRPr="00B47F47" w:rsidRDefault="00CB6CEA" w:rsidP="00C21A75">
      <w:r w:rsidRPr="00C21A75">
        <w:t>El Programa Institucional de la Financiera Nacional de Desarrollo Agropecuario,</w:t>
      </w:r>
      <w:r w:rsidR="002643BF" w:rsidRPr="00C21A75">
        <w:t xml:space="preserve"> Rural, Forestal y Pesquero 2013</w:t>
      </w:r>
      <w:r w:rsidRPr="00B47F47">
        <w:t>-2018 establece los objetivos, las estrategias y las líneas de acción que permitirán a la Institución cumplir con el mandato de Ley y contribuir al desarrollo del sector agroalimentario y rural del país.</w:t>
      </w:r>
    </w:p>
    <w:p w:rsidR="0070465A" w:rsidRDefault="00953950" w:rsidP="00C21A75">
      <w:pPr>
        <w:rPr>
          <w:lang w:eastAsia="es-MX"/>
        </w:rPr>
      </w:pPr>
      <w:r w:rsidRPr="00B47F47">
        <w:t>En este sentido, como podrá apreciarse en los siguientes capítulos, el crédito debe orientarse a financiar los diversos eslabones de la cadena agroalimentaria y los distintos factores de la producción. Además, el crédito jugará un papel indispensable en acelerar la capitalización y en incorporar las innovaciones tecnológicas, a fin de lograr una mayor productividad en las actividades agropecuarias y económicas de la población ubicada en localidades rurales.</w:t>
      </w:r>
    </w:p>
    <w:p w:rsidR="002643BF" w:rsidRPr="00B47F47" w:rsidRDefault="002643BF" w:rsidP="00C21A75">
      <w:r w:rsidRPr="00C21A75">
        <w:t xml:space="preserve">En la siguiente figura se exhibe la vinculación existente entre los distintos instrumentos de planeación </w:t>
      </w:r>
      <w:r w:rsidR="002A565D" w:rsidRPr="00B47F47">
        <w:t xml:space="preserve">siendo </w:t>
      </w:r>
      <w:r w:rsidRPr="00B47F47">
        <w:t>el Plan Nacional de Desarrollo</w:t>
      </w:r>
      <w:r w:rsidR="002A565D" w:rsidRPr="00B47F47">
        <w:t xml:space="preserve"> el documento rector que rige a </w:t>
      </w:r>
      <w:r w:rsidRPr="00B47F47">
        <w:t>los Programas Sectoriales e Institucionales, incluyendo los Programas Transversales, así como los Programas Presupuestarios conforme al marco legal vigente.</w:t>
      </w:r>
    </w:p>
    <w:p w:rsidR="00336FEF" w:rsidRDefault="00336FEF" w:rsidP="00336FEF"/>
    <w:p w:rsidR="00336FEF" w:rsidRDefault="00336FEF" w:rsidP="00336FEF">
      <w:pPr>
        <w:pStyle w:val="Graficas"/>
      </w:pPr>
      <w:r>
        <w:t>Figura 1. Vinculación de los Instrumentos de Planeación.</w:t>
      </w:r>
    </w:p>
    <w:p w:rsidR="00336FEF" w:rsidRDefault="00EC7870" w:rsidP="00336FEF">
      <w:pPr>
        <w:pStyle w:val="Fuentesyreferencias"/>
      </w:pPr>
      <w:r>
        <w:rPr>
          <w:noProof/>
        </w:rPr>
        <mc:AlternateContent>
          <mc:Choice Requires="wpg">
            <w:drawing>
              <wp:inline distT="0" distB="0" distL="0" distR="0" wp14:anchorId="51761725" wp14:editId="3A62D782">
                <wp:extent cx="4533265" cy="2500630"/>
                <wp:effectExtent l="95250" t="38100" r="38735" b="90170"/>
                <wp:docPr id="1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33265" cy="2500630"/>
                          <a:chOff x="0" y="0"/>
                          <a:chExt cx="4532992" cy="2500492"/>
                        </a:xfrm>
                      </wpg:grpSpPr>
                      <wps:wsp>
                        <wps:cNvPr id="8" name="4 Rectángulo redondeado"/>
                        <wps:cNvSpPr>
                          <a:spLocks noChangeArrowheads="1"/>
                        </wps:cNvSpPr>
                        <wps:spPr bwMode="auto">
                          <a:xfrm>
                            <a:off x="2" y="0"/>
                            <a:ext cx="4532990" cy="642949"/>
                          </a:xfrm>
                          <a:prstGeom prst="roundRect">
                            <a:avLst>
                              <a:gd name="adj" fmla="val 16667"/>
                            </a:avLst>
                          </a:prstGeom>
                          <a:solidFill>
                            <a:srgbClr val="008000"/>
                          </a:solidFill>
                          <a:ln>
                            <a:noFill/>
                          </a:ln>
                          <a:effectLst>
                            <a:outerShdw blurRad="63500" dist="38099" dir="8100000" algn="tr" rotWithShape="0">
                              <a:srgbClr val="000000">
                                <a:alpha val="39998"/>
                              </a:srgbClr>
                            </a:outerShdw>
                          </a:effectLst>
                          <a:extLst>
                            <a:ext uri="{91240B29-F687-4F45-9708-019B960494DF}">
                              <a14:hiddenLine xmlns:a14="http://schemas.microsoft.com/office/drawing/2010/main" w="25400">
                                <a:solidFill>
                                  <a:srgbClr val="000000"/>
                                </a:solidFill>
                                <a:round/>
                                <a:headEnd/>
                                <a:tailEnd/>
                              </a14:hiddenLine>
                            </a:ext>
                          </a:extLst>
                        </wps:spPr>
                        <wps:txbx>
                          <w:txbxContent>
                            <w:p w:rsidR="0069725E" w:rsidRDefault="0069725E" w:rsidP="00336FEF">
                              <w:pPr>
                                <w:pStyle w:val="NormalWeb"/>
                                <w:spacing w:beforeAutospacing="0" w:afterAutospacing="0"/>
                                <w:jc w:val="center"/>
                                <w:textAlignment w:val="baseline"/>
                              </w:pPr>
                              <w:r w:rsidRPr="006E4025">
                                <w:rPr>
                                  <w:rFonts w:ascii="Arial" w:hAnsi="Arial"/>
                                  <w:color w:val="FFFFFF"/>
                                  <w:kern w:val="24"/>
                                  <w:sz w:val="18"/>
                                  <w:szCs w:val="18"/>
                                </w:rPr>
                                <w:t>Plan Nacional de Desarrollo</w:t>
                              </w:r>
                            </w:p>
                          </w:txbxContent>
                        </wps:txbx>
                        <wps:bodyPr vert="horz" wrap="square" lIns="91440" tIns="45720" rIns="91440" bIns="45720" numCol="1" anchor="ctr" anchorCtr="0" compatLnSpc="1">
                          <a:prstTxWarp prst="textNoShape">
                            <a:avLst/>
                          </a:prstTxWarp>
                        </wps:bodyPr>
                      </wps:wsp>
                      <wps:wsp>
                        <wps:cNvPr id="9" name="5 Rectángulo redondeado"/>
                        <wps:cNvSpPr>
                          <a:spLocks noChangeArrowheads="1"/>
                        </wps:cNvSpPr>
                        <wps:spPr bwMode="auto">
                          <a:xfrm>
                            <a:off x="0" y="714455"/>
                            <a:ext cx="1012869" cy="1786037"/>
                          </a:xfrm>
                          <a:prstGeom prst="roundRect">
                            <a:avLst>
                              <a:gd name="adj" fmla="val 16667"/>
                            </a:avLst>
                          </a:prstGeom>
                          <a:solidFill>
                            <a:srgbClr val="595959"/>
                          </a:solidFill>
                          <a:ln>
                            <a:noFill/>
                          </a:ln>
                          <a:effectLst>
                            <a:outerShdw blurRad="63500" dist="38099" dir="8100000" algn="tr" rotWithShape="0">
                              <a:srgbClr val="000000">
                                <a:alpha val="39998"/>
                              </a:srgbClr>
                            </a:outerShdw>
                          </a:effectLst>
                          <a:extLst>
                            <a:ext uri="{91240B29-F687-4F45-9708-019B960494DF}">
                              <a14:hiddenLine xmlns:a14="http://schemas.microsoft.com/office/drawing/2010/main" w="25400">
                                <a:solidFill>
                                  <a:srgbClr val="000000"/>
                                </a:solidFill>
                                <a:round/>
                                <a:headEnd/>
                                <a:tailEnd/>
                              </a14:hiddenLine>
                            </a:ext>
                          </a:extLst>
                        </wps:spPr>
                        <wps:txbx>
                          <w:txbxContent>
                            <w:p w:rsidR="0069725E" w:rsidRDefault="0069725E" w:rsidP="00336FEF">
                              <w:pPr>
                                <w:pStyle w:val="NormalWeb"/>
                                <w:spacing w:beforeAutospacing="0" w:afterAutospacing="0"/>
                                <w:ind w:firstLine="0"/>
                                <w:textAlignment w:val="baseline"/>
                                <w:rPr>
                                  <w:rFonts w:ascii="Arial" w:hAnsi="Arial"/>
                                  <w:color w:val="FFFFFF"/>
                                  <w:kern w:val="24"/>
                                  <w:sz w:val="18"/>
                                  <w:szCs w:val="18"/>
                                </w:rPr>
                              </w:pPr>
                            </w:p>
                            <w:p w:rsidR="0069725E" w:rsidRDefault="0069725E" w:rsidP="00336FEF">
                              <w:pPr>
                                <w:pStyle w:val="NormalWeb"/>
                                <w:spacing w:beforeAutospacing="0" w:afterAutospacing="0"/>
                                <w:ind w:firstLine="0"/>
                                <w:textAlignment w:val="baseline"/>
                                <w:rPr>
                                  <w:rFonts w:ascii="Arial" w:hAnsi="Arial"/>
                                  <w:color w:val="FFFFFF"/>
                                  <w:kern w:val="24"/>
                                  <w:sz w:val="18"/>
                                  <w:szCs w:val="18"/>
                                </w:rPr>
                              </w:pPr>
                            </w:p>
                            <w:p w:rsidR="0069725E" w:rsidRDefault="0069725E" w:rsidP="00336FEF">
                              <w:pPr>
                                <w:pStyle w:val="NormalWeb"/>
                                <w:spacing w:beforeAutospacing="0" w:afterAutospacing="0"/>
                                <w:ind w:firstLine="0"/>
                                <w:textAlignment w:val="baseline"/>
                                <w:rPr>
                                  <w:rFonts w:ascii="Arial" w:hAnsi="Arial"/>
                                  <w:color w:val="FFFFFF"/>
                                  <w:kern w:val="24"/>
                                  <w:sz w:val="18"/>
                                  <w:szCs w:val="18"/>
                                </w:rPr>
                              </w:pPr>
                            </w:p>
                            <w:p w:rsidR="0069725E" w:rsidRDefault="0069725E" w:rsidP="00336FEF">
                              <w:pPr>
                                <w:pStyle w:val="NormalWeb"/>
                                <w:spacing w:beforeAutospacing="0" w:afterAutospacing="0"/>
                                <w:ind w:firstLine="0"/>
                                <w:textAlignment w:val="baseline"/>
                              </w:pPr>
                              <w:r w:rsidRPr="006E4025">
                                <w:rPr>
                                  <w:rFonts w:ascii="Arial" w:hAnsi="Arial"/>
                                  <w:color w:val="FFFFFF"/>
                                  <w:kern w:val="24"/>
                                  <w:sz w:val="18"/>
                                  <w:szCs w:val="18"/>
                                </w:rPr>
                                <w:t>P</w:t>
                              </w:r>
                              <w:r>
                                <w:rPr>
                                  <w:rFonts w:ascii="Arial" w:hAnsi="Arial"/>
                                  <w:color w:val="FFFFFF"/>
                                  <w:kern w:val="24"/>
                                  <w:sz w:val="18"/>
                                  <w:szCs w:val="18"/>
                                </w:rPr>
                                <w:t xml:space="preserve">rogramas </w:t>
                              </w:r>
                              <w:r w:rsidRPr="006E4025">
                                <w:rPr>
                                  <w:rFonts w:ascii="Arial" w:hAnsi="Arial"/>
                                  <w:color w:val="FFFFFF"/>
                                  <w:kern w:val="24"/>
                                  <w:sz w:val="18"/>
                                  <w:szCs w:val="18"/>
                                </w:rPr>
                                <w:t>Transversales</w:t>
                              </w:r>
                            </w:p>
                          </w:txbxContent>
                        </wps:txbx>
                        <wps:bodyPr vert="horz" wrap="square" lIns="91440" tIns="45720" rIns="91440" bIns="45720" numCol="1" anchor="ctr" anchorCtr="0" compatLnSpc="1">
                          <a:prstTxWarp prst="textNoShape">
                            <a:avLst/>
                          </a:prstTxWarp>
                        </wps:bodyPr>
                      </wps:wsp>
                      <wps:wsp>
                        <wps:cNvPr id="17" name="6 Rectángulo redondeado"/>
                        <wps:cNvSpPr>
                          <a:spLocks noChangeArrowheads="1"/>
                        </wps:cNvSpPr>
                        <wps:spPr bwMode="auto">
                          <a:xfrm>
                            <a:off x="1316951" y="857266"/>
                            <a:ext cx="3216041" cy="484737"/>
                          </a:xfrm>
                          <a:prstGeom prst="roundRect">
                            <a:avLst>
                              <a:gd name="adj" fmla="val 16667"/>
                            </a:avLst>
                          </a:prstGeom>
                          <a:solidFill>
                            <a:srgbClr val="008000"/>
                          </a:solidFill>
                          <a:ln>
                            <a:noFill/>
                          </a:ln>
                          <a:effectLst>
                            <a:outerShdw blurRad="63500" dist="38099" dir="8100000" algn="tr" rotWithShape="0">
                              <a:srgbClr val="000000">
                                <a:alpha val="39998"/>
                              </a:srgbClr>
                            </a:outerShdw>
                          </a:effectLst>
                          <a:extLst>
                            <a:ext uri="{91240B29-F687-4F45-9708-019B960494DF}">
                              <a14:hiddenLine xmlns:a14="http://schemas.microsoft.com/office/drawing/2010/main" w="25400">
                                <a:solidFill>
                                  <a:srgbClr val="000000"/>
                                </a:solidFill>
                                <a:round/>
                                <a:headEnd/>
                                <a:tailEnd/>
                              </a14:hiddenLine>
                            </a:ext>
                          </a:extLst>
                        </wps:spPr>
                        <wps:txbx>
                          <w:txbxContent>
                            <w:p w:rsidR="0069725E" w:rsidRDefault="0069725E" w:rsidP="00336FEF">
                              <w:pPr>
                                <w:pStyle w:val="NormalWeb"/>
                                <w:spacing w:beforeAutospacing="0" w:afterAutospacing="0"/>
                                <w:textAlignment w:val="baseline"/>
                              </w:pPr>
                              <w:r w:rsidRPr="006E4025">
                                <w:rPr>
                                  <w:rFonts w:ascii="Arial" w:hAnsi="Arial"/>
                                  <w:color w:val="FFFFFF"/>
                                  <w:kern w:val="24"/>
                                  <w:sz w:val="18"/>
                                  <w:szCs w:val="18"/>
                                </w:rPr>
                                <w:t>Programas Sectoriales</w:t>
                              </w:r>
                            </w:p>
                          </w:txbxContent>
                        </wps:txbx>
                        <wps:bodyPr vert="horz" wrap="square" lIns="91440" tIns="45720" rIns="91440" bIns="45720" numCol="1" anchor="ctr" anchorCtr="0" compatLnSpc="1">
                          <a:prstTxWarp prst="textNoShape">
                            <a:avLst/>
                          </a:prstTxWarp>
                        </wps:bodyPr>
                      </wps:wsp>
                      <wps:wsp>
                        <wps:cNvPr id="27" name="7 Rectángulo redondeado"/>
                        <wps:cNvSpPr>
                          <a:spLocks noChangeArrowheads="1"/>
                        </wps:cNvSpPr>
                        <wps:spPr bwMode="auto">
                          <a:xfrm>
                            <a:off x="1316951" y="1500315"/>
                            <a:ext cx="1289267" cy="928771"/>
                          </a:xfrm>
                          <a:prstGeom prst="roundRect">
                            <a:avLst>
                              <a:gd name="adj" fmla="val 16667"/>
                            </a:avLst>
                          </a:prstGeom>
                          <a:solidFill>
                            <a:srgbClr val="008000"/>
                          </a:solidFill>
                          <a:ln>
                            <a:noFill/>
                          </a:ln>
                          <a:effectLst>
                            <a:outerShdw blurRad="63500" dist="38099" dir="8100000" algn="tr" rotWithShape="0">
                              <a:srgbClr val="000000">
                                <a:alpha val="39998"/>
                              </a:srgbClr>
                            </a:outerShdw>
                          </a:effectLst>
                          <a:extLst>
                            <a:ext uri="{91240B29-F687-4F45-9708-019B960494DF}">
                              <a14:hiddenLine xmlns:a14="http://schemas.microsoft.com/office/drawing/2010/main" w="25400">
                                <a:solidFill>
                                  <a:srgbClr val="000000"/>
                                </a:solidFill>
                                <a:round/>
                                <a:headEnd/>
                                <a:tailEnd/>
                              </a14:hiddenLine>
                            </a:ext>
                          </a:extLst>
                        </wps:spPr>
                        <wps:txbx>
                          <w:txbxContent>
                            <w:p w:rsidR="0069725E" w:rsidRDefault="0069725E" w:rsidP="00336FEF">
                              <w:pPr>
                                <w:pStyle w:val="NormalWeb"/>
                                <w:spacing w:beforeAutospacing="0" w:afterAutospacing="0"/>
                                <w:ind w:firstLine="0"/>
                                <w:jc w:val="left"/>
                                <w:textAlignment w:val="baseline"/>
                              </w:pPr>
                              <w:r w:rsidRPr="006E4025">
                                <w:rPr>
                                  <w:rFonts w:ascii="Arial" w:hAnsi="Arial"/>
                                  <w:color w:val="FFFFFF"/>
                                  <w:kern w:val="24"/>
                                  <w:sz w:val="18"/>
                                  <w:szCs w:val="18"/>
                                </w:rPr>
                                <w:t>Programas Especiales, Institucionales y Regionales</w:t>
                              </w:r>
                            </w:p>
                          </w:txbxContent>
                        </wps:txbx>
                        <wps:bodyPr vert="horz" wrap="square" lIns="91440" tIns="45720" rIns="91440" bIns="45720" numCol="1" anchor="ctr" anchorCtr="0" compatLnSpc="1">
                          <a:prstTxWarp prst="textNoShape">
                            <a:avLst/>
                          </a:prstTxWarp>
                        </wps:bodyPr>
                      </wps:wsp>
                      <wps:wsp>
                        <wps:cNvPr id="28" name="9 Rectángulo redondeado"/>
                        <wps:cNvSpPr>
                          <a:spLocks noChangeArrowheads="1"/>
                        </wps:cNvSpPr>
                        <wps:spPr bwMode="auto">
                          <a:xfrm>
                            <a:off x="3089818" y="1502402"/>
                            <a:ext cx="1357307" cy="928771"/>
                          </a:xfrm>
                          <a:prstGeom prst="roundRect">
                            <a:avLst>
                              <a:gd name="adj" fmla="val 16667"/>
                            </a:avLst>
                          </a:prstGeom>
                          <a:solidFill>
                            <a:srgbClr val="008000"/>
                          </a:solidFill>
                          <a:ln>
                            <a:noFill/>
                          </a:ln>
                          <a:effectLst>
                            <a:outerShdw blurRad="63500" dist="38099" dir="8100000" algn="tr" rotWithShape="0">
                              <a:srgbClr val="000000">
                                <a:alpha val="39998"/>
                              </a:srgbClr>
                            </a:outerShdw>
                          </a:effectLst>
                          <a:extLst>
                            <a:ext uri="{91240B29-F687-4F45-9708-019B960494DF}">
                              <a14:hiddenLine xmlns:a14="http://schemas.microsoft.com/office/drawing/2010/main" w="25400">
                                <a:solidFill>
                                  <a:srgbClr val="000000"/>
                                </a:solidFill>
                                <a:round/>
                                <a:headEnd/>
                                <a:tailEnd/>
                              </a14:hiddenLine>
                            </a:ext>
                          </a:extLst>
                        </wps:spPr>
                        <wps:txbx>
                          <w:txbxContent>
                            <w:p w:rsidR="0069725E" w:rsidRDefault="0069725E" w:rsidP="00336FEF">
                              <w:pPr>
                                <w:pStyle w:val="NormalWeb"/>
                                <w:spacing w:beforeAutospacing="0" w:afterAutospacing="0"/>
                                <w:ind w:firstLine="0"/>
                                <w:jc w:val="left"/>
                                <w:textAlignment w:val="baseline"/>
                              </w:pPr>
                              <w:r w:rsidRPr="006E4025">
                                <w:rPr>
                                  <w:rFonts w:ascii="Arial" w:hAnsi="Arial"/>
                                  <w:color w:val="FFFFFF"/>
                                  <w:kern w:val="24"/>
                                  <w:sz w:val="18"/>
                                  <w:szCs w:val="18"/>
                                </w:rPr>
                                <w:t>Programas Presupuestarios</w:t>
                              </w:r>
                            </w:p>
                          </w:txbxContent>
                        </wps:txbx>
                        <wps:bodyPr vert="horz" wrap="square" lIns="91440" tIns="45720" rIns="91440" bIns="45720" numCol="1" anchor="ctr" anchorCtr="0" compatLnSpc="1">
                          <a:prstTxWarp prst="textNoShape">
                            <a:avLst/>
                          </a:prstTxWarp>
                        </wps:bodyPr>
                      </wps:wsp>
                      <wps:wsp>
                        <wps:cNvPr id="29" name="10 Abrir llave"/>
                        <wps:cNvSpPr>
                          <a:spLocks/>
                        </wps:cNvSpPr>
                        <wps:spPr bwMode="auto">
                          <a:xfrm>
                            <a:off x="1046109" y="785860"/>
                            <a:ext cx="285701" cy="1714631"/>
                          </a:xfrm>
                          <a:prstGeom prst="leftBrace">
                            <a:avLst>
                              <a:gd name="adj1" fmla="val 8335"/>
                              <a:gd name="adj2" fmla="val 50000"/>
                            </a:avLst>
                          </a:prstGeom>
                          <a:noFill/>
                          <a:ln w="22225">
                            <a:solidFill>
                              <a:srgbClr val="595959"/>
                            </a:solidFill>
                            <a:round/>
                            <a:headEnd/>
                            <a:tailEnd/>
                          </a:ln>
                          <a:extLst>
                            <a:ext uri="{909E8E84-426E-40DD-AFC4-6F175D3DCCD1}">
                              <a14:hiddenFill xmlns:a14="http://schemas.microsoft.com/office/drawing/2010/main">
                                <a:solidFill>
                                  <a:srgbClr val="FFFFFF"/>
                                </a:solidFill>
                              </a14:hiddenFill>
                            </a:ext>
                          </a:extLst>
                        </wps:spPr>
                        <wps:txbx>
                          <w:txbxContent>
                            <w:p w:rsidR="0069725E" w:rsidRDefault="0069725E" w:rsidP="00336FEF">
                              <w:pPr>
                                <w:rPr>
                                  <w:rFonts w:eastAsia="Times New Roman" w:cs="Times New Roman"/>
                                </w:rPr>
                              </w:pPr>
                            </w:p>
                          </w:txbxContent>
                        </wps:txbx>
                        <wps:bodyPr vert="horz" wrap="square" lIns="91440" tIns="45720" rIns="91440" bIns="45720" numCol="1" anchor="ctr" anchorCtr="0" compatLnSpc="1">
                          <a:prstTxWarp prst="textNoShape">
                            <a:avLst/>
                          </a:prstTxWarp>
                        </wps:bodyPr>
                      </wps:wsp>
                      <wps:wsp>
                        <wps:cNvPr id="30" name="11 Flecha arriba y abajo"/>
                        <wps:cNvSpPr>
                          <a:spLocks noChangeArrowheads="1"/>
                        </wps:cNvSpPr>
                        <wps:spPr bwMode="auto">
                          <a:xfrm>
                            <a:off x="3931270" y="428633"/>
                            <a:ext cx="285801" cy="571544"/>
                          </a:xfrm>
                          <a:prstGeom prst="upDownArrow">
                            <a:avLst>
                              <a:gd name="adj1" fmla="val 50000"/>
                              <a:gd name="adj2" fmla="val 49991"/>
                            </a:avLst>
                          </a:prstGeom>
                          <a:solidFill>
                            <a:srgbClr val="595959"/>
                          </a:solidFill>
                          <a:ln>
                            <a:noFill/>
                          </a:ln>
                          <a:effectLst>
                            <a:outerShdw blurRad="63500" dist="38099" dir="8100000" algn="tr" rotWithShape="0">
                              <a:srgbClr val="000000">
                                <a:alpha val="39998"/>
                              </a:srgbClr>
                            </a:outerShdw>
                          </a:effectLst>
                          <a:extLst>
                            <a:ext uri="{91240B29-F687-4F45-9708-019B960494DF}">
                              <a14:hiddenLine xmlns:a14="http://schemas.microsoft.com/office/drawing/2010/main" w="25400">
                                <a:solidFill>
                                  <a:srgbClr val="000000"/>
                                </a:solidFill>
                                <a:miter lim="800000"/>
                                <a:headEnd/>
                                <a:tailEnd/>
                              </a14:hiddenLine>
                            </a:ext>
                          </a:extLst>
                        </wps:spPr>
                        <wps:txbx>
                          <w:txbxContent>
                            <w:p w:rsidR="0069725E" w:rsidRDefault="0069725E" w:rsidP="00336FEF">
                              <w:pPr>
                                <w:rPr>
                                  <w:rFonts w:eastAsia="Times New Roman" w:cs="Times New Roman"/>
                                </w:rPr>
                              </w:pPr>
                            </w:p>
                          </w:txbxContent>
                        </wps:txbx>
                        <wps:bodyPr vert="horz" wrap="square" lIns="91440" tIns="45720" rIns="91440" bIns="45720" numCol="1" anchor="ctr" anchorCtr="0" compatLnSpc="1">
                          <a:prstTxWarp prst="textNoShape">
                            <a:avLst/>
                          </a:prstTxWarp>
                        </wps:bodyPr>
                      </wps:wsp>
                      <wps:wsp>
                        <wps:cNvPr id="31" name="12 Flecha arriba y abajo"/>
                        <wps:cNvSpPr>
                          <a:spLocks noChangeArrowheads="1"/>
                        </wps:cNvSpPr>
                        <wps:spPr bwMode="auto">
                          <a:xfrm>
                            <a:off x="3389986" y="1214493"/>
                            <a:ext cx="214301" cy="428633"/>
                          </a:xfrm>
                          <a:prstGeom prst="upDownArrow">
                            <a:avLst>
                              <a:gd name="adj1" fmla="val 50000"/>
                              <a:gd name="adj2" fmla="val 50000"/>
                            </a:avLst>
                          </a:prstGeom>
                          <a:solidFill>
                            <a:srgbClr val="595959"/>
                          </a:solidFill>
                          <a:ln>
                            <a:noFill/>
                          </a:ln>
                          <a:effectLst>
                            <a:outerShdw blurRad="63500" dist="38099" dir="8100000" algn="tr" rotWithShape="0">
                              <a:srgbClr val="000000">
                                <a:alpha val="39998"/>
                              </a:srgbClr>
                            </a:outerShdw>
                          </a:effectLst>
                          <a:extLst>
                            <a:ext uri="{91240B29-F687-4F45-9708-019B960494DF}">
                              <a14:hiddenLine xmlns:a14="http://schemas.microsoft.com/office/drawing/2010/main" w="25400">
                                <a:solidFill>
                                  <a:srgbClr val="000000"/>
                                </a:solidFill>
                                <a:miter lim="800000"/>
                                <a:headEnd/>
                                <a:tailEnd/>
                              </a14:hiddenLine>
                            </a:ext>
                          </a:extLst>
                        </wps:spPr>
                        <wps:txbx>
                          <w:txbxContent>
                            <w:p w:rsidR="0069725E" w:rsidRDefault="0069725E" w:rsidP="00336FEF">
                              <w:pPr>
                                <w:rPr>
                                  <w:rFonts w:eastAsia="Times New Roman" w:cs="Times New Roman"/>
                                </w:rPr>
                              </w:pPr>
                            </w:p>
                          </w:txbxContent>
                        </wps:txbx>
                        <wps:bodyPr vert="horz" wrap="square" lIns="91440" tIns="45720" rIns="91440" bIns="45720" numCol="1" anchor="ctr" anchorCtr="0" compatLnSpc="1">
                          <a:prstTxWarp prst="textNoShape">
                            <a:avLst/>
                          </a:prstTxWarp>
                        </wps:bodyPr>
                      </wps:wsp>
                      <wps:wsp>
                        <wps:cNvPr id="35" name="13 Flecha arriba y abajo"/>
                        <wps:cNvSpPr>
                          <a:spLocks noChangeArrowheads="1"/>
                        </wps:cNvSpPr>
                        <wps:spPr bwMode="auto">
                          <a:xfrm>
                            <a:off x="2317056" y="1214493"/>
                            <a:ext cx="214301" cy="428633"/>
                          </a:xfrm>
                          <a:prstGeom prst="upDownArrow">
                            <a:avLst>
                              <a:gd name="adj1" fmla="val 50000"/>
                              <a:gd name="adj2" fmla="val 50000"/>
                            </a:avLst>
                          </a:prstGeom>
                          <a:solidFill>
                            <a:srgbClr val="595959"/>
                          </a:solidFill>
                          <a:ln>
                            <a:noFill/>
                          </a:ln>
                          <a:effectLst>
                            <a:outerShdw blurRad="63500" dist="38099" dir="8100000" algn="tr" rotWithShape="0">
                              <a:srgbClr val="000000">
                                <a:alpha val="39998"/>
                              </a:srgbClr>
                            </a:outerShdw>
                          </a:effectLst>
                          <a:extLst>
                            <a:ext uri="{91240B29-F687-4F45-9708-019B960494DF}">
                              <a14:hiddenLine xmlns:a14="http://schemas.microsoft.com/office/drawing/2010/main" w="25400">
                                <a:solidFill>
                                  <a:srgbClr val="000000"/>
                                </a:solidFill>
                                <a:miter lim="800000"/>
                                <a:headEnd/>
                                <a:tailEnd/>
                              </a14:hiddenLine>
                            </a:ext>
                          </a:extLst>
                        </wps:spPr>
                        <wps:txbx>
                          <w:txbxContent>
                            <w:p w:rsidR="0069725E" w:rsidRDefault="0069725E" w:rsidP="00336FEF">
                              <w:pPr>
                                <w:rPr>
                                  <w:rFonts w:eastAsia="Times New Roman" w:cs="Times New Roman"/>
                                </w:rPr>
                              </w:pPr>
                            </w:p>
                          </w:txbxContent>
                        </wps:txbx>
                        <wps:bodyPr vert="horz" wrap="square" lIns="91440" tIns="45720" rIns="91440" bIns="45720" numCol="1" anchor="ctr" anchorCtr="0" compatLnSpc="1">
                          <a:prstTxWarp prst="textNoShape">
                            <a:avLst/>
                          </a:prstTxWarp>
                        </wps:bodyPr>
                      </wps:wsp>
                      <wps:wsp>
                        <wps:cNvPr id="36" name="14 Flecha izquierda y derecha"/>
                        <wps:cNvSpPr>
                          <a:spLocks noChangeArrowheads="1"/>
                        </wps:cNvSpPr>
                        <wps:spPr bwMode="auto">
                          <a:xfrm>
                            <a:off x="2604183" y="1857542"/>
                            <a:ext cx="571503" cy="214316"/>
                          </a:xfrm>
                          <a:prstGeom prst="leftRightArrow">
                            <a:avLst>
                              <a:gd name="adj1" fmla="val 50000"/>
                              <a:gd name="adj2" fmla="val 50003"/>
                            </a:avLst>
                          </a:prstGeom>
                          <a:solidFill>
                            <a:srgbClr val="595959"/>
                          </a:solidFill>
                          <a:ln>
                            <a:noFill/>
                          </a:ln>
                          <a:effectLst>
                            <a:outerShdw blurRad="63500" dist="38099" dir="8100000" algn="tr" rotWithShape="0">
                              <a:srgbClr val="000000">
                                <a:alpha val="39998"/>
                              </a:srgbClr>
                            </a:outerShdw>
                          </a:effectLst>
                          <a:extLst>
                            <a:ext uri="{91240B29-F687-4F45-9708-019B960494DF}">
                              <a14:hiddenLine xmlns:a14="http://schemas.microsoft.com/office/drawing/2010/main" w="25400">
                                <a:solidFill>
                                  <a:srgbClr val="000000"/>
                                </a:solidFill>
                                <a:miter lim="800000"/>
                                <a:headEnd/>
                                <a:tailEnd/>
                              </a14:hiddenLine>
                            </a:ext>
                          </a:extLst>
                        </wps:spPr>
                        <wps:txbx>
                          <w:txbxContent>
                            <w:p w:rsidR="0069725E" w:rsidRDefault="0069725E" w:rsidP="00336FEF">
                              <w:pPr>
                                <w:rPr>
                                  <w:rFonts w:eastAsia="Times New Roman" w:cs="Times New Roman"/>
                                </w:rPr>
                              </w:pPr>
                            </w:p>
                          </w:txbxContent>
                        </wps:txbx>
                        <wps:bodyPr vert="horz" wrap="square" lIns="91440" tIns="45720" rIns="91440" bIns="45720" numCol="1" anchor="ctr" anchorCtr="0" compatLnSpc="1">
                          <a:prstTxWarp prst="textNoShape">
                            <a:avLst/>
                          </a:prstTxWarp>
                        </wps:bodyPr>
                      </wps:wsp>
                    </wpg:wgp>
                  </a:graphicData>
                </a:graphic>
              </wp:inline>
            </w:drawing>
          </mc:Choice>
          <mc:Fallback>
            <w:pict>
              <v:group w14:anchorId="51761725" id="Group 17" o:spid="_x0000_s1026" style="width:356.95pt;height:196.9pt;mso-position-horizontal-relative:char;mso-position-vertical-relative:line" coordsize="45329,25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">
                <v:roundrect id="4 Rectángulo redondeado" o:spid="_x0000_s1027" style="position:absolute;width:45329;height:6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" fillcolor="green" stroked="f" strokeweight="2pt">
                  <v:shadow on="t" color="black" opacity="26213f" origin=".5,-.5" offset="-.74833mm,.74833mm"/>
                  <v:textbox>
                    <w:txbxContent>
                      <w:p w:rsidR="0069725E" w:rsidRDefault="0069725E" w:rsidP="00336FEF">
                        <w:pPr>
                          <w:pStyle w:val="NormalWeb"/>
                          <w:spacing w:beforeAutospacing="0" w:afterAutospacing="0"/>
                          <w:jc w:val="center"/>
                          <w:textAlignment w:val="baseline"/>
                        </w:pPr>
                        <w:r w:rsidRPr="006E4025">
                          <w:rPr>
                            <w:rFonts w:ascii="Arial" w:hAnsi="Arial"/>
                            <w:color w:val="FFFFFF"/>
                            <w:kern w:val="24"/>
                            <w:sz w:val="18"/>
                            <w:szCs w:val="18"/>
                          </w:rPr>
                          <w:t>Plan Nacional de Desarrollo</w:t>
                        </w:r>
                      </w:p>
                    </w:txbxContent>
                  </v:textbox>
                </v:roundrect>
                <v:roundrect id="5 Rectángulo redondeado" o:spid="_x0000_s1028" style="position:absolute;top:7144;width:10128;height:178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" fillcolor="#595959" stroked="f" strokeweight="2pt">
                  <v:shadow on="t" color="black" opacity="26213f" origin=".5,-.5" offset="-.74833mm,.74833mm"/>
                  <v:textbox>
                    <w:txbxContent>
                      <w:p w:rsidR="0069725E" w:rsidRDefault="0069725E" w:rsidP="00336FEF">
                        <w:pPr>
                          <w:pStyle w:val="NormalWeb"/>
                          <w:spacing w:beforeAutospacing="0" w:afterAutospacing="0"/>
                          <w:ind w:firstLine="0"/>
                          <w:textAlignment w:val="baseline"/>
                          <w:rPr>
                            <w:rFonts w:ascii="Arial" w:hAnsi="Arial"/>
                            <w:color w:val="FFFFFF"/>
                            <w:kern w:val="24"/>
                            <w:sz w:val="18"/>
                            <w:szCs w:val="18"/>
                          </w:rPr>
                        </w:pPr>
                      </w:p>
                      <w:p w:rsidR="0069725E" w:rsidRDefault="0069725E" w:rsidP="00336FEF">
                        <w:pPr>
                          <w:pStyle w:val="NormalWeb"/>
                          <w:spacing w:beforeAutospacing="0" w:afterAutospacing="0"/>
                          <w:ind w:firstLine="0"/>
                          <w:textAlignment w:val="baseline"/>
                          <w:rPr>
                            <w:rFonts w:ascii="Arial" w:hAnsi="Arial"/>
                            <w:color w:val="FFFFFF"/>
                            <w:kern w:val="24"/>
                            <w:sz w:val="18"/>
                            <w:szCs w:val="18"/>
                          </w:rPr>
                        </w:pPr>
                      </w:p>
                      <w:p w:rsidR="0069725E" w:rsidRDefault="0069725E" w:rsidP="00336FEF">
                        <w:pPr>
                          <w:pStyle w:val="NormalWeb"/>
                          <w:spacing w:beforeAutospacing="0" w:afterAutospacing="0"/>
                          <w:ind w:firstLine="0"/>
                          <w:textAlignment w:val="baseline"/>
                          <w:rPr>
                            <w:rFonts w:ascii="Arial" w:hAnsi="Arial"/>
                            <w:color w:val="FFFFFF"/>
                            <w:kern w:val="24"/>
                            <w:sz w:val="18"/>
                            <w:szCs w:val="18"/>
                          </w:rPr>
                        </w:pPr>
                      </w:p>
                      <w:p w:rsidR="0069725E" w:rsidRDefault="0069725E" w:rsidP="00336FEF">
                        <w:pPr>
                          <w:pStyle w:val="NormalWeb"/>
                          <w:spacing w:beforeAutospacing="0" w:afterAutospacing="0"/>
                          <w:ind w:firstLine="0"/>
                          <w:textAlignment w:val="baseline"/>
                        </w:pPr>
                        <w:r w:rsidRPr="006E4025">
                          <w:rPr>
                            <w:rFonts w:ascii="Arial" w:hAnsi="Arial"/>
                            <w:color w:val="FFFFFF"/>
                            <w:kern w:val="24"/>
                            <w:sz w:val="18"/>
                            <w:szCs w:val="18"/>
                          </w:rPr>
                          <w:t>P</w:t>
                        </w:r>
                        <w:r>
                          <w:rPr>
                            <w:rFonts w:ascii="Arial" w:hAnsi="Arial"/>
                            <w:color w:val="FFFFFF"/>
                            <w:kern w:val="24"/>
                            <w:sz w:val="18"/>
                            <w:szCs w:val="18"/>
                          </w:rPr>
                          <w:t xml:space="preserve">rogramas </w:t>
                        </w:r>
                        <w:r w:rsidRPr="006E4025">
                          <w:rPr>
                            <w:rFonts w:ascii="Arial" w:hAnsi="Arial"/>
                            <w:color w:val="FFFFFF"/>
                            <w:kern w:val="24"/>
                            <w:sz w:val="18"/>
                            <w:szCs w:val="18"/>
                          </w:rPr>
                          <w:t>Transversales</w:t>
                        </w:r>
                      </w:p>
                    </w:txbxContent>
                  </v:textbox>
                </v:roundrect>
                <v:roundrect id="6 Rectángulo redondeado" o:spid="_x0000_s1029" style="position:absolute;left:13169;top:8572;width:32160;height:4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" fillcolor="green" stroked="f" strokeweight="2pt">
                  <v:shadow on="t" color="black" opacity="26213f" origin=".5,-.5" offset="-.74833mm,.74833mm"/>
                  <v:textbox>
                    <w:txbxContent>
                      <w:p w:rsidR="0069725E" w:rsidRDefault="0069725E" w:rsidP="00336FEF">
                        <w:pPr>
                          <w:pStyle w:val="NormalWeb"/>
                          <w:spacing w:beforeAutospacing="0" w:afterAutospacing="0"/>
                          <w:textAlignment w:val="baseline"/>
                        </w:pPr>
                        <w:r w:rsidRPr="006E4025">
                          <w:rPr>
                            <w:rFonts w:ascii="Arial" w:hAnsi="Arial"/>
                            <w:color w:val="FFFFFF"/>
                            <w:kern w:val="24"/>
                            <w:sz w:val="18"/>
                            <w:szCs w:val="18"/>
                          </w:rPr>
                          <w:t>Programas Sectoriales</w:t>
                        </w:r>
                      </w:p>
                    </w:txbxContent>
                  </v:textbox>
                </v:roundrect>
                <v:roundrect id="7 Rectángulo redondeado" o:spid="_x0000_s1030" style="position:absolute;left:13169;top:15003;width:12893;height:9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" fillcolor="green" stroked="f" strokeweight="2pt">
                  <v:shadow on="t" color="black" opacity="26213f" origin=".5,-.5" offset="-.74833mm,.74833mm"/>
                  <v:textbox>
                    <w:txbxContent>
                      <w:p w:rsidR="0069725E" w:rsidRDefault="0069725E" w:rsidP="00336FEF">
                        <w:pPr>
                          <w:pStyle w:val="NormalWeb"/>
                          <w:spacing w:beforeAutospacing="0" w:afterAutospacing="0"/>
                          <w:ind w:firstLine="0"/>
                          <w:jc w:val="left"/>
                          <w:textAlignment w:val="baseline"/>
                        </w:pPr>
                        <w:r w:rsidRPr="006E4025">
                          <w:rPr>
                            <w:rFonts w:ascii="Arial" w:hAnsi="Arial"/>
                            <w:color w:val="FFFFFF"/>
                            <w:kern w:val="24"/>
                            <w:sz w:val="18"/>
                            <w:szCs w:val="18"/>
                          </w:rPr>
                          <w:t>Programas Especiales, Institucionales y Regionales</w:t>
                        </w:r>
                      </w:p>
                    </w:txbxContent>
                  </v:textbox>
                </v:roundrect>
                <v:roundrect id="9 Rectángulo redondeado" o:spid="_x0000_s1031" style="position:absolute;left:30898;top:15024;width:13573;height:9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" fillcolor="green" stroked="f" strokeweight="2pt">
                  <v:shadow on="t" color="black" opacity="26213f" origin=".5,-.5" offset="-.74833mm,.74833mm"/>
                  <v:textbox>
                    <w:txbxContent>
                      <w:p w:rsidR="0069725E" w:rsidRDefault="0069725E" w:rsidP="00336FEF">
                        <w:pPr>
                          <w:pStyle w:val="NormalWeb"/>
                          <w:spacing w:beforeAutospacing="0" w:afterAutospacing="0"/>
                          <w:ind w:firstLine="0"/>
                          <w:jc w:val="left"/>
                          <w:textAlignment w:val="baseline"/>
                        </w:pPr>
                        <w:r w:rsidRPr="006E4025">
                          <w:rPr>
                            <w:rFonts w:ascii="Arial" w:hAnsi="Arial"/>
                            <w:color w:val="FFFFFF"/>
                            <w:kern w:val="24"/>
                            <w:sz w:val="18"/>
                            <w:szCs w:val="18"/>
                          </w:rPr>
                          <w:t>Programas Presupuestarios</w:t>
                        </w:r>
                      </w:p>
                    </w:txbxContent>
                  </v:textbox>
                </v:round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10 Abrir llave" o:spid="_x0000_s1032" type="#_x0000_t87" style="position:absolute;left:10461;top:7858;width:2857;height:17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" adj="300" strokecolor="#595959" strokeweight="1.75pt">
                  <v:textbox>
                    <w:txbxContent>
                      <w:p w:rsidR="0069725E" w:rsidRDefault="0069725E" w:rsidP="00336FEF">
                        <w:pPr>
                          <w:rPr>
                            <w:rFonts w:eastAsia="Times New Roman" w:cs="Times New Roman"/>
                          </w:rPr>
                        </w:pP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11 Flecha arriba y abajo" o:spid="_x0000_s1033" type="#_x0000_t70" style="position:absolute;left:39312;top:4286;width:2858;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" adj=",5400" fillcolor="#595959" stroked="f" strokeweight="2pt">
                  <v:shadow on="t" color="black" opacity="26213f" origin=".5,-.5" offset="-.74833mm,.74833mm"/>
                  <v:textbox>
                    <w:txbxContent>
                      <w:p w:rsidR="0069725E" w:rsidRDefault="0069725E" w:rsidP="00336FEF">
                        <w:pPr>
                          <w:rPr>
                            <w:rFonts w:eastAsia="Times New Roman" w:cs="Times New Roman"/>
                          </w:rPr>
                        </w:pPr>
                      </w:p>
                    </w:txbxContent>
                  </v:textbox>
                </v:shape>
                <v:shape id="12 Flecha arriba y abajo" o:spid="_x0000_s1034" type="#_x0000_t70" style="position:absolute;left:33899;top:12144;width:2143;height:4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" adj=",5400" fillcolor="#595959" stroked="f" strokeweight="2pt">
                  <v:shadow on="t" color="black" opacity="26213f" origin=".5,-.5" offset="-.74833mm,.74833mm"/>
                  <v:textbox>
                    <w:txbxContent>
                      <w:p w:rsidR="0069725E" w:rsidRDefault="0069725E" w:rsidP="00336FEF">
                        <w:pPr>
                          <w:rPr>
                            <w:rFonts w:eastAsia="Times New Roman" w:cs="Times New Roman"/>
                          </w:rPr>
                        </w:pPr>
                      </w:p>
                    </w:txbxContent>
                  </v:textbox>
                </v:shape>
                <v:shape id="13 Flecha arriba y abajo" o:spid="_x0000_s1035" type="#_x0000_t70" style="position:absolute;left:23170;top:12144;width:2143;height:4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" adj=",5400" fillcolor="#595959" stroked="f" strokeweight="2pt">
                  <v:shadow on="t" color="black" opacity="26213f" origin=".5,-.5" offset="-.74833mm,.74833mm"/>
                  <v:textbox>
                    <w:txbxContent>
                      <w:p w:rsidR="0069725E" w:rsidRDefault="0069725E" w:rsidP="00336FEF">
                        <w:pPr>
                          <w:rPr>
                            <w:rFonts w:eastAsia="Times New Roman" w:cs="Times New Roman"/>
                          </w:rPr>
                        </w:pP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14 Flecha izquierda y derecha" o:spid="_x0000_s1036" type="#_x0000_t69" style="position:absolute;left:26041;top:18575;width:5715;height:2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" adj="4050" fillcolor="#595959" stroked="f" strokeweight="2pt">
                  <v:shadow on="t" color="black" opacity="26213f" origin=".5,-.5" offset="-.74833mm,.74833mm"/>
                  <v:textbox>
                    <w:txbxContent>
                      <w:p w:rsidR="0069725E" w:rsidRDefault="0069725E" w:rsidP="00336FEF">
                        <w:pPr>
                          <w:rPr>
                            <w:rFonts w:eastAsia="Times New Roman" w:cs="Times New Roman"/>
                          </w:rPr>
                        </w:pPr>
                      </w:p>
                    </w:txbxContent>
                  </v:textbox>
                </v:shape>
                <w10:anchorlock/>
              </v:group>
            </w:pict>
          </mc:Fallback>
        </mc:AlternateContent>
      </w:r>
    </w:p>
    <w:p w:rsidR="00336FEF" w:rsidRPr="00277DEF" w:rsidRDefault="00336FEF" w:rsidP="00336FEF">
      <w:pPr>
        <w:pStyle w:val="Fuentesyreferencias"/>
      </w:pPr>
      <w:r w:rsidRPr="00277DEF">
        <w:t>Fuente: Unidad de Evaluación del Desempeño, SHCP</w:t>
      </w:r>
    </w:p>
    <w:p w:rsidR="002A565D" w:rsidRDefault="002A565D" w:rsidP="00C21A75"/>
    <w:p w:rsidR="002643BF" w:rsidRPr="00C21A75" w:rsidRDefault="00953950" w:rsidP="00C21A75">
      <w:r w:rsidRPr="00C21A75">
        <w:t>E</w:t>
      </w:r>
      <w:r w:rsidR="002643BF" w:rsidRPr="00C21A75">
        <w:t xml:space="preserve">n el cuadro siguiente puede verificarse que cada objetivo del Programa Institucional se encuentra </w:t>
      </w:r>
      <w:r w:rsidR="002643BF" w:rsidRPr="00B47F47">
        <w:t>alineado a una Meta Nacional del PND y a un objetivo único dentro de ésta, así como al objetivo del PRONAFIDE 20013-2018 relacionado con la Banca de Desarrollo.</w:t>
      </w:r>
    </w:p>
    <w:p w:rsidR="00000052" w:rsidRPr="00C21A75" w:rsidRDefault="00000052" w:rsidP="00000052">
      <w:bookmarkStart w:id="4" w:name="_Toc259122275"/>
      <w:bookmarkStart w:id="5" w:name="_Toc386131531"/>
      <w:bookmarkStart w:id="6" w:name="_Toc259880921"/>
    </w:p>
    <w:p w:rsidR="00000052" w:rsidRPr="00E87D2B" w:rsidRDefault="00000052" w:rsidP="00000052">
      <w:pPr>
        <w:pStyle w:val="Cuadros"/>
        <w:rPr>
          <w:sz w:val="18"/>
        </w:rPr>
      </w:pPr>
      <w:r w:rsidRPr="00E87D2B">
        <w:rPr>
          <w:sz w:val="18"/>
        </w:rPr>
        <w:t>Alineación de los Objetivos del Programa Institucional con el</w:t>
      </w:r>
    </w:p>
    <w:p w:rsidR="00000052" w:rsidRPr="00E87D2B" w:rsidRDefault="00000052" w:rsidP="00000052">
      <w:pPr>
        <w:pStyle w:val="Cuadros"/>
        <w:rPr>
          <w:sz w:val="18"/>
        </w:rPr>
      </w:pPr>
      <w:r w:rsidRPr="00E87D2B">
        <w:rPr>
          <w:sz w:val="18"/>
        </w:rPr>
        <w:t>Plan Nacional de Desarrollo 2013-2018.</w:t>
      </w:r>
    </w:p>
    <w:tbl>
      <w:tblPr>
        <w:tblW w:w="9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559"/>
        <w:gridCol w:w="2268"/>
        <w:gridCol w:w="1701"/>
        <w:gridCol w:w="2381"/>
      </w:tblGrid>
      <w:tr w:rsidR="00000052" w:rsidRPr="000D3D8B" w:rsidTr="00000052">
        <w:trPr>
          <w:trHeight w:val="617"/>
        </w:trPr>
        <w:tc>
          <w:tcPr>
            <w:tcW w:w="1101" w:type="dxa"/>
            <w:shd w:val="clear" w:color="auto" w:fill="B3B3B3"/>
            <w:vAlign w:val="center"/>
          </w:tcPr>
          <w:p w:rsidR="00000052" w:rsidRPr="000D3D8B" w:rsidRDefault="00000052" w:rsidP="00000052">
            <w:pPr>
              <w:ind w:firstLine="0"/>
              <w:jc w:val="center"/>
              <w:rPr>
                <w:b/>
              </w:rPr>
            </w:pPr>
            <w:r w:rsidRPr="000D3D8B">
              <w:rPr>
                <w:b/>
              </w:rPr>
              <w:lastRenderedPageBreak/>
              <w:t>Meta Nacional</w:t>
            </w:r>
          </w:p>
        </w:tc>
        <w:tc>
          <w:tcPr>
            <w:tcW w:w="1559" w:type="dxa"/>
            <w:shd w:val="clear" w:color="auto" w:fill="B3B3B3"/>
            <w:vAlign w:val="center"/>
          </w:tcPr>
          <w:p w:rsidR="00000052" w:rsidRPr="000D3D8B" w:rsidRDefault="00000052" w:rsidP="00000052">
            <w:pPr>
              <w:ind w:firstLine="0"/>
              <w:jc w:val="center"/>
              <w:rPr>
                <w:b/>
              </w:rPr>
            </w:pPr>
            <w:r w:rsidRPr="000D3D8B">
              <w:rPr>
                <w:b/>
              </w:rPr>
              <w:t>Objetivo de la Meta Nacional</w:t>
            </w:r>
          </w:p>
        </w:tc>
        <w:tc>
          <w:tcPr>
            <w:tcW w:w="2268" w:type="dxa"/>
            <w:shd w:val="clear" w:color="auto" w:fill="B3B3B3"/>
            <w:vAlign w:val="center"/>
          </w:tcPr>
          <w:p w:rsidR="00000052" w:rsidRPr="000D3D8B" w:rsidRDefault="00000052" w:rsidP="00000052">
            <w:pPr>
              <w:ind w:firstLine="0"/>
              <w:jc w:val="center"/>
              <w:rPr>
                <w:b/>
              </w:rPr>
            </w:pPr>
            <w:r w:rsidRPr="000D3D8B">
              <w:rPr>
                <w:b/>
              </w:rPr>
              <w:t>Estrategias del Objetivo de la Meta Nacional</w:t>
            </w:r>
          </w:p>
        </w:tc>
        <w:tc>
          <w:tcPr>
            <w:tcW w:w="1701" w:type="dxa"/>
            <w:shd w:val="clear" w:color="auto" w:fill="B3B3B3"/>
            <w:vAlign w:val="center"/>
          </w:tcPr>
          <w:p w:rsidR="00000052" w:rsidRPr="000D3D8B" w:rsidRDefault="00000052" w:rsidP="00000052">
            <w:pPr>
              <w:ind w:firstLine="0"/>
              <w:jc w:val="center"/>
              <w:rPr>
                <w:b/>
              </w:rPr>
            </w:pPr>
            <w:r w:rsidRPr="000D3D8B">
              <w:rPr>
                <w:b/>
              </w:rPr>
              <w:t>Objetivo PRONAFIDE</w:t>
            </w:r>
          </w:p>
        </w:tc>
        <w:tc>
          <w:tcPr>
            <w:tcW w:w="2381" w:type="dxa"/>
            <w:shd w:val="clear" w:color="auto" w:fill="B3B3B3"/>
            <w:vAlign w:val="center"/>
          </w:tcPr>
          <w:p w:rsidR="00000052" w:rsidRPr="000D3D8B" w:rsidRDefault="00000052" w:rsidP="00000052">
            <w:pPr>
              <w:ind w:firstLine="0"/>
              <w:jc w:val="center"/>
              <w:rPr>
                <w:b/>
              </w:rPr>
            </w:pPr>
            <w:r w:rsidRPr="000D3D8B">
              <w:rPr>
                <w:b/>
              </w:rPr>
              <w:t>Objetivos del Programa Institucional de la Financiera Nacional de Desarrollo Agropecuario, Rural, Forestal y Pesquero</w:t>
            </w:r>
          </w:p>
        </w:tc>
      </w:tr>
      <w:tr w:rsidR="00000052" w:rsidRPr="000D3D8B" w:rsidTr="00000052">
        <w:trPr>
          <w:trHeight w:val="1065"/>
        </w:trPr>
        <w:tc>
          <w:tcPr>
            <w:tcW w:w="1101" w:type="dxa"/>
            <w:vMerge w:val="restart"/>
            <w:shd w:val="clear" w:color="auto" w:fill="auto"/>
            <w:vAlign w:val="center"/>
          </w:tcPr>
          <w:p w:rsidR="00000052" w:rsidRPr="000D3D8B" w:rsidRDefault="00000052" w:rsidP="00000052">
            <w:pPr>
              <w:ind w:firstLine="0"/>
              <w:jc w:val="left"/>
              <w:rPr>
                <w:b/>
              </w:rPr>
            </w:pPr>
            <w:r w:rsidRPr="000D3D8B">
              <w:rPr>
                <w:b/>
              </w:rPr>
              <w:t>México Próspero</w:t>
            </w:r>
          </w:p>
        </w:tc>
        <w:tc>
          <w:tcPr>
            <w:tcW w:w="1559" w:type="dxa"/>
            <w:vMerge w:val="restart"/>
            <w:shd w:val="clear" w:color="auto" w:fill="auto"/>
            <w:vAlign w:val="center"/>
          </w:tcPr>
          <w:p w:rsidR="00000052" w:rsidRPr="000D3D8B" w:rsidRDefault="00000052" w:rsidP="00000052">
            <w:pPr>
              <w:ind w:left="33" w:firstLine="0"/>
              <w:jc w:val="left"/>
              <w:rPr>
                <w:b/>
              </w:rPr>
            </w:pPr>
            <w:r w:rsidRPr="000D3D8B">
              <w:rPr>
                <w:b/>
              </w:rPr>
              <w:t>Objetivo 4.2</w:t>
            </w:r>
          </w:p>
          <w:p w:rsidR="00000052" w:rsidRPr="000D3D8B" w:rsidRDefault="00000052" w:rsidP="00000052">
            <w:pPr>
              <w:ind w:left="33" w:firstLine="0"/>
              <w:jc w:val="left"/>
            </w:pPr>
            <w:r w:rsidRPr="000D3D8B">
              <w:t>Democratizar el acceso al financiamiento de proyectos con potencial de crecimiento.</w:t>
            </w:r>
          </w:p>
        </w:tc>
        <w:tc>
          <w:tcPr>
            <w:tcW w:w="2268" w:type="dxa"/>
            <w:shd w:val="clear" w:color="auto" w:fill="auto"/>
          </w:tcPr>
          <w:p w:rsidR="00000052" w:rsidRPr="000D3D8B" w:rsidRDefault="00000052" w:rsidP="00000052">
            <w:pPr>
              <w:ind w:firstLine="0"/>
              <w:jc w:val="left"/>
              <w:rPr>
                <w:b/>
              </w:rPr>
            </w:pPr>
            <w:r w:rsidRPr="000D3D8B">
              <w:rPr>
                <w:b/>
              </w:rPr>
              <w:t>Estrategia 4.2.2</w:t>
            </w:r>
          </w:p>
          <w:p w:rsidR="00000052" w:rsidRPr="000D3D8B" w:rsidRDefault="00000052" w:rsidP="00000052">
            <w:pPr>
              <w:ind w:firstLine="0"/>
              <w:jc w:val="left"/>
            </w:pPr>
            <w:r w:rsidRPr="000D3D8B">
              <w:t>Ampliar la cobertura del sistema financiero hacia un mayor número de personas y empresas en México, en particular para los segmentos de la población actualmente excluidos.</w:t>
            </w:r>
          </w:p>
        </w:tc>
        <w:tc>
          <w:tcPr>
            <w:tcW w:w="1701" w:type="dxa"/>
            <w:vMerge w:val="restart"/>
            <w:shd w:val="clear" w:color="auto" w:fill="auto"/>
            <w:vAlign w:val="center"/>
          </w:tcPr>
          <w:p w:rsidR="00000052" w:rsidRPr="000D3D8B" w:rsidRDefault="00000052" w:rsidP="00000052">
            <w:pPr>
              <w:ind w:firstLine="0"/>
              <w:jc w:val="left"/>
              <w:rPr>
                <w:b/>
              </w:rPr>
            </w:pPr>
            <w:r w:rsidRPr="000D3D8B">
              <w:rPr>
                <w:b/>
              </w:rPr>
              <w:t>Objetivo 6:</w:t>
            </w:r>
          </w:p>
          <w:p w:rsidR="00000052" w:rsidRPr="000D3D8B" w:rsidRDefault="00000052" w:rsidP="00000052">
            <w:pPr>
              <w:ind w:firstLine="0"/>
              <w:jc w:val="left"/>
            </w:pPr>
            <w:r w:rsidRPr="000D3D8B">
              <w:t>Ampliar el crédito de la Banca de Desarrollo facilitando el acceso a servicios financieros en sectores estratégicos, con una mayor participación del sector privado.</w:t>
            </w:r>
          </w:p>
        </w:tc>
        <w:tc>
          <w:tcPr>
            <w:tcW w:w="2381" w:type="dxa"/>
            <w:shd w:val="clear" w:color="auto" w:fill="auto"/>
            <w:vAlign w:val="center"/>
          </w:tcPr>
          <w:p w:rsidR="00000052" w:rsidRPr="000D3D8B" w:rsidRDefault="00000052" w:rsidP="00000052">
            <w:pPr>
              <w:ind w:firstLine="0"/>
              <w:jc w:val="left"/>
              <w:rPr>
                <w:b/>
              </w:rPr>
            </w:pPr>
            <w:r w:rsidRPr="000D3D8B">
              <w:rPr>
                <w:b/>
              </w:rPr>
              <w:t xml:space="preserve">Objetivo 1. </w:t>
            </w:r>
          </w:p>
          <w:p w:rsidR="00000052" w:rsidRPr="000D3D8B" w:rsidRDefault="00000052" w:rsidP="00000052">
            <w:pPr>
              <w:ind w:firstLine="0"/>
              <w:jc w:val="left"/>
            </w:pPr>
            <w:r w:rsidRPr="000D3D8B">
              <w:t>Incrementar el saldo de financiamiento, mejorando las condiciones a los sectores de atención en  primer piso, segundo piso e inducido.</w:t>
            </w:r>
          </w:p>
        </w:tc>
      </w:tr>
      <w:tr w:rsidR="00000052" w:rsidRPr="000D3D8B" w:rsidTr="00000052">
        <w:trPr>
          <w:trHeight w:val="750"/>
        </w:trPr>
        <w:tc>
          <w:tcPr>
            <w:tcW w:w="1101" w:type="dxa"/>
            <w:vMerge/>
          </w:tcPr>
          <w:p w:rsidR="00000052" w:rsidRPr="000D3D8B" w:rsidRDefault="00000052" w:rsidP="00000052">
            <w:pPr>
              <w:jc w:val="left"/>
            </w:pPr>
          </w:p>
        </w:tc>
        <w:tc>
          <w:tcPr>
            <w:tcW w:w="1559" w:type="dxa"/>
            <w:vMerge/>
          </w:tcPr>
          <w:p w:rsidR="00000052" w:rsidRPr="000D3D8B" w:rsidRDefault="00000052" w:rsidP="00000052">
            <w:pPr>
              <w:jc w:val="left"/>
            </w:pPr>
          </w:p>
        </w:tc>
        <w:tc>
          <w:tcPr>
            <w:tcW w:w="2268" w:type="dxa"/>
            <w:vMerge w:val="restart"/>
          </w:tcPr>
          <w:p w:rsidR="00000052" w:rsidRPr="000D3D8B" w:rsidRDefault="00000052" w:rsidP="00000052">
            <w:pPr>
              <w:ind w:firstLine="0"/>
              <w:jc w:val="left"/>
              <w:rPr>
                <w:b/>
              </w:rPr>
            </w:pPr>
            <w:r w:rsidRPr="000D3D8B">
              <w:rPr>
                <w:b/>
              </w:rPr>
              <w:t>Estrategia 4.2.4</w:t>
            </w:r>
          </w:p>
          <w:p w:rsidR="00000052" w:rsidRPr="000D3D8B" w:rsidRDefault="00000052" w:rsidP="00000052">
            <w:pPr>
              <w:ind w:firstLine="0"/>
              <w:jc w:val="left"/>
            </w:pPr>
            <w:r w:rsidRPr="000D3D8B">
              <w:t>Ampliar el acceso al crédito y a otros servicios financieros,  a través de la Banca de Desarrollo, a actores económicos en sectores estratégicos prioritarios con dificultades para disponer de los mismos, con especial énfasis en áreas prioritarias para el desarrollo nacional, como la infraestructura, las pequeñas y medianas empresas, además de la innovación y la creación de patentes, completando mercados y fomentando la participación del sector privado sin desplazarlo.</w:t>
            </w:r>
          </w:p>
        </w:tc>
        <w:tc>
          <w:tcPr>
            <w:tcW w:w="1701" w:type="dxa"/>
            <w:vMerge/>
          </w:tcPr>
          <w:p w:rsidR="00000052" w:rsidRPr="000D3D8B" w:rsidRDefault="00000052" w:rsidP="00000052">
            <w:pPr>
              <w:jc w:val="left"/>
            </w:pPr>
          </w:p>
        </w:tc>
        <w:tc>
          <w:tcPr>
            <w:tcW w:w="2381" w:type="dxa"/>
          </w:tcPr>
          <w:p w:rsidR="00000052" w:rsidRPr="000D3D8B" w:rsidRDefault="00000052" w:rsidP="00000052">
            <w:pPr>
              <w:ind w:firstLine="0"/>
              <w:jc w:val="left"/>
              <w:rPr>
                <w:b/>
              </w:rPr>
            </w:pPr>
            <w:r w:rsidRPr="000D3D8B">
              <w:rPr>
                <w:b/>
              </w:rPr>
              <w:t>Objetivo 2.</w:t>
            </w:r>
          </w:p>
          <w:p w:rsidR="00000052" w:rsidRPr="000D3D8B" w:rsidRDefault="00000052" w:rsidP="00000052">
            <w:pPr>
              <w:ind w:firstLine="0"/>
              <w:jc w:val="left"/>
            </w:pPr>
            <w:r w:rsidRPr="000D3D8B">
              <w:t xml:space="preserve">Incrementar la inversión en activos fijos para el sector agroalimentario y rural. </w:t>
            </w:r>
          </w:p>
        </w:tc>
      </w:tr>
      <w:tr w:rsidR="00000052" w:rsidRPr="000D3D8B" w:rsidTr="00000052">
        <w:trPr>
          <w:trHeight w:val="750"/>
        </w:trPr>
        <w:tc>
          <w:tcPr>
            <w:tcW w:w="1101" w:type="dxa"/>
            <w:vMerge/>
            <w:shd w:val="clear" w:color="auto" w:fill="auto"/>
            <w:vAlign w:val="center"/>
          </w:tcPr>
          <w:p w:rsidR="00000052" w:rsidRPr="000D3D8B" w:rsidRDefault="00000052" w:rsidP="00000052">
            <w:pPr>
              <w:jc w:val="left"/>
            </w:pPr>
          </w:p>
        </w:tc>
        <w:tc>
          <w:tcPr>
            <w:tcW w:w="1559" w:type="dxa"/>
            <w:vMerge/>
            <w:shd w:val="clear" w:color="auto" w:fill="auto"/>
            <w:vAlign w:val="center"/>
          </w:tcPr>
          <w:p w:rsidR="00000052" w:rsidRPr="000D3D8B" w:rsidRDefault="00000052" w:rsidP="00000052">
            <w:pPr>
              <w:jc w:val="left"/>
            </w:pPr>
          </w:p>
        </w:tc>
        <w:tc>
          <w:tcPr>
            <w:tcW w:w="2268" w:type="dxa"/>
            <w:vMerge/>
            <w:shd w:val="clear" w:color="auto" w:fill="auto"/>
          </w:tcPr>
          <w:p w:rsidR="00000052" w:rsidRPr="000D3D8B" w:rsidRDefault="00000052" w:rsidP="00000052">
            <w:pPr>
              <w:ind w:firstLine="0"/>
              <w:jc w:val="left"/>
              <w:rPr>
                <w:b/>
              </w:rPr>
            </w:pPr>
          </w:p>
        </w:tc>
        <w:tc>
          <w:tcPr>
            <w:tcW w:w="1701" w:type="dxa"/>
            <w:vMerge/>
            <w:shd w:val="clear" w:color="auto" w:fill="auto"/>
            <w:vAlign w:val="center"/>
          </w:tcPr>
          <w:p w:rsidR="00000052" w:rsidRPr="000D3D8B" w:rsidRDefault="00000052" w:rsidP="00000052">
            <w:pPr>
              <w:jc w:val="left"/>
            </w:pPr>
          </w:p>
        </w:tc>
        <w:tc>
          <w:tcPr>
            <w:tcW w:w="2381" w:type="dxa"/>
            <w:shd w:val="clear" w:color="auto" w:fill="auto"/>
            <w:vAlign w:val="center"/>
          </w:tcPr>
          <w:p w:rsidR="00000052" w:rsidRPr="000D3D8B" w:rsidRDefault="00000052" w:rsidP="00000052">
            <w:pPr>
              <w:ind w:firstLine="0"/>
              <w:jc w:val="left"/>
              <w:rPr>
                <w:b/>
              </w:rPr>
            </w:pPr>
            <w:r w:rsidRPr="000D3D8B">
              <w:rPr>
                <w:b/>
              </w:rPr>
              <w:t xml:space="preserve">Objetivo 3. </w:t>
            </w:r>
          </w:p>
          <w:p w:rsidR="00000052" w:rsidRPr="000D3D8B" w:rsidRDefault="00000052" w:rsidP="00000052">
            <w:pPr>
              <w:ind w:firstLine="0"/>
              <w:jc w:val="left"/>
            </w:pPr>
            <w:r w:rsidRPr="000D3D8B">
              <w:t>Incrementar la oferta financiera con especial énfasis en pequeños productores.</w:t>
            </w:r>
          </w:p>
        </w:tc>
      </w:tr>
      <w:tr w:rsidR="00000052" w:rsidRPr="000D3D8B" w:rsidTr="00000052">
        <w:trPr>
          <w:trHeight w:val="750"/>
        </w:trPr>
        <w:tc>
          <w:tcPr>
            <w:tcW w:w="1101" w:type="dxa"/>
            <w:vMerge/>
            <w:shd w:val="clear" w:color="auto" w:fill="auto"/>
            <w:vAlign w:val="center"/>
          </w:tcPr>
          <w:p w:rsidR="00000052" w:rsidRPr="000D3D8B" w:rsidRDefault="00000052" w:rsidP="00000052">
            <w:pPr>
              <w:jc w:val="left"/>
            </w:pPr>
          </w:p>
        </w:tc>
        <w:tc>
          <w:tcPr>
            <w:tcW w:w="1559" w:type="dxa"/>
            <w:vMerge/>
            <w:shd w:val="clear" w:color="auto" w:fill="auto"/>
            <w:vAlign w:val="center"/>
          </w:tcPr>
          <w:p w:rsidR="00000052" w:rsidRPr="000D3D8B" w:rsidRDefault="00000052" w:rsidP="00000052">
            <w:pPr>
              <w:jc w:val="left"/>
            </w:pPr>
          </w:p>
        </w:tc>
        <w:tc>
          <w:tcPr>
            <w:tcW w:w="2268" w:type="dxa"/>
            <w:vMerge/>
            <w:shd w:val="clear" w:color="auto" w:fill="auto"/>
          </w:tcPr>
          <w:p w:rsidR="00000052" w:rsidRPr="000D3D8B" w:rsidRDefault="00000052" w:rsidP="00000052">
            <w:pPr>
              <w:ind w:firstLine="0"/>
              <w:jc w:val="left"/>
              <w:rPr>
                <w:b/>
              </w:rPr>
            </w:pPr>
          </w:p>
        </w:tc>
        <w:tc>
          <w:tcPr>
            <w:tcW w:w="1701" w:type="dxa"/>
            <w:vMerge/>
            <w:shd w:val="clear" w:color="auto" w:fill="auto"/>
            <w:vAlign w:val="center"/>
          </w:tcPr>
          <w:p w:rsidR="00000052" w:rsidRPr="000D3D8B" w:rsidRDefault="00000052" w:rsidP="00000052">
            <w:pPr>
              <w:jc w:val="left"/>
            </w:pPr>
          </w:p>
        </w:tc>
        <w:tc>
          <w:tcPr>
            <w:tcW w:w="2381" w:type="dxa"/>
            <w:shd w:val="clear" w:color="auto" w:fill="auto"/>
            <w:vAlign w:val="center"/>
          </w:tcPr>
          <w:p w:rsidR="00000052" w:rsidRPr="000D3D8B" w:rsidRDefault="00000052" w:rsidP="00000052">
            <w:pPr>
              <w:ind w:firstLine="0"/>
              <w:jc w:val="left"/>
              <w:rPr>
                <w:b/>
              </w:rPr>
            </w:pPr>
            <w:r w:rsidRPr="000D3D8B">
              <w:rPr>
                <w:b/>
              </w:rPr>
              <w:t xml:space="preserve">Objetivo 4. </w:t>
            </w:r>
          </w:p>
          <w:p w:rsidR="00000052" w:rsidRPr="000D3D8B" w:rsidRDefault="00000052" w:rsidP="00000052">
            <w:pPr>
              <w:ind w:firstLine="0"/>
              <w:jc w:val="left"/>
            </w:pPr>
            <w:r w:rsidRPr="000D3D8B">
              <w:t>Desarrollar y fortalecer Intermediarios Financieros Rurales para lograr una cobertura nacional.</w:t>
            </w:r>
          </w:p>
        </w:tc>
      </w:tr>
      <w:tr w:rsidR="00000052" w:rsidRPr="000D3D8B" w:rsidTr="00000052">
        <w:trPr>
          <w:trHeight w:val="750"/>
        </w:trPr>
        <w:tc>
          <w:tcPr>
            <w:tcW w:w="1101" w:type="dxa"/>
            <w:vMerge/>
            <w:shd w:val="clear" w:color="auto" w:fill="auto"/>
            <w:vAlign w:val="center"/>
          </w:tcPr>
          <w:p w:rsidR="00000052" w:rsidRPr="000D3D8B" w:rsidRDefault="00000052" w:rsidP="00000052">
            <w:pPr>
              <w:jc w:val="left"/>
            </w:pPr>
          </w:p>
        </w:tc>
        <w:tc>
          <w:tcPr>
            <w:tcW w:w="1559" w:type="dxa"/>
            <w:vMerge/>
            <w:shd w:val="clear" w:color="auto" w:fill="auto"/>
            <w:vAlign w:val="center"/>
          </w:tcPr>
          <w:p w:rsidR="00000052" w:rsidRPr="000D3D8B" w:rsidRDefault="00000052" w:rsidP="00000052">
            <w:pPr>
              <w:jc w:val="left"/>
            </w:pPr>
          </w:p>
        </w:tc>
        <w:tc>
          <w:tcPr>
            <w:tcW w:w="2268" w:type="dxa"/>
            <w:vMerge/>
            <w:shd w:val="clear" w:color="auto" w:fill="auto"/>
          </w:tcPr>
          <w:p w:rsidR="00000052" w:rsidRPr="000D3D8B" w:rsidRDefault="00000052" w:rsidP="00000052">
            <w:pPr>
              <w:ind w:firstLine="0"/>
              <w:jc w:val="left"/>
              <w:rPr>
                <w:b/>
              </w:rPr>
            </w:pPr>
          </w:p>
        </w:tc>
        <w:tc>
          <w:tcPr>
            <w:tcW w:w="1701" w:type="dxa"/>
            <w:vMerge/>
            <w:shd w:val="clear" w:color="auto" w:fill="auto"/>
            <w:vAlign w:val="center"/>
          </w:tcPr>
          <w:p w:rsidR="00000052" w:rsidRPr="000D3D8B" w:rsidRDefault="00000052" w:rsidP="00000052">
            <w:pPr>
              <w:jc w:val="left"/>
            </w:pPr>
          </w:p>
        </w:tc>
        <w:tc>
          <w:tcPr>
            <w:tcW w:w="2381" w:type="dxa"/>
            <w:shd w:val="clear" w:color="auto" w:fill="auto"/>
            <w:vAlign w:val="center"/>
          </w:tcPr>
          <w:p w:rsidR="00000052" w:rsidRPr="000D3D8B" w:rsidRDefault="00000052" w:rsidP="00000052">
            <w:pPr>
              <w:ind w:firstLine="0"/>
              <w:jc w:val="left"/>
              <w:rPr>
                <w:b/>
              </w:rPr>
            </w:pPr>
            <w:r w:rsidRPr="000D3D8B">
              <w:rPr>
                <w:b/>
              </w:rPr>
              <w:t xml:space="preserve">Objetivo 5. </w:t>
            </w:r>
          </w:p>
          <w:p w:rsidR="00000052" w:rsidRPr="000D3D8B" w:rsidRDefault="00000052" w:rsidP="00000052">
            <w:pPr>
              <w:ind w:firstLine="0"/>
              <w:jc w:val="left"/>
            </w:pPr>
            <w:r w:rsidRPr="000D3D8B">
              <w:t>Incrementar la cobertura de servicios de la Institución.</w:t>
            </w:r>
          </w:p>
        </w:tc>
      </w:tr>
      <w:tr w:rsidR="00000052" w:rsidRPr="000D3D8B" w:rsidTr="00000052">
        <w:trPr>
          <w:trHeight w:val="750"/>
        </w:trPr>
        <w:tc>
          <w:tcPr>
            <w:tcW w:w="1101" w:type="dxa"/>
            <w:vMerge/>
            <w:shd w:val="clear" w:color="auto" w:fill="auto"/>
            <w:vAlign w:val="center"/>
          </w:tcPr>
          <w:p w:rsidR="00000052" w:rsidRPr="000D3D8B" w:rsidRDefault="00000052" w:rsidP="00000052"/>
        </w:tc>
        <w:tc>
          <w:tcPr>
            <w:tcW w:w="1559" w:type="dxa"/>
            <w:vMerge/>
            <w:shd w:val="clear" w:color="auto" w:fill="auto"/>
            <w:vAlign w:val="center"/>
          </w:tcPr>
          <w:p w:rsidR="00000052" w:rsidRPr="000D3D8B" w:rsidRDefault="00000052" w:rsidP="00000052"/>
        </w:tc>
        <w:tc>
          <w:tcPr>
            <w:tcW w:w="2268" w:type="dxa"/>
            <w:vMerge/>
            <w:shd w:val="clear" w:color="auto" w:fill="auto"/>
          </w:tcPr>
          <w:p w:rsidR="00000052" w:rsidRPr="000D3D8B" w:rsidRDefault="00000052" w:rsidP="00000052">
            <w:pPr>
              <w:ind w:firstLine="0"/>
              <w:jc w:val="left"/>
              <w:rPr>
                <w:b/>
              </w:rPr>
            </w:pPr>
          </w:p>
        </w:tc>
        <w:tc>
          <w:tcPr>
            <w:tcW w:w="1701" w:type="dxa"/>
            <w:vMerge/>
            <w:shd w:val="clear" w:color="auto" w:fill="auto"/>
            <w:vAlign w:val="center"/>
          </w:tcPr>
          <w:p w:rsidR="00000052" w:rsidRPr="000D3D8B" w:rsidRDefault="00000052" w:rsidP="00000052"/>
        </w:tc>
        <w:tc>
          <w:tcPr>
            <w:tcW w:w="2381" w:type="dxa"/>
            <w:shd w:val="clear" w:color="auto" w:fill="auto"/>
            <w:vAlign w:val="center"/>
          </w:tcPr>
          <w:p w:rsidR="00000052" w:rsidRPr="000D3D8B" w:rsidRDefault="00000052" w:rsidP="00000052">
            <w:pPr>
              <w:ind w:firstLine="0"/>
              <w:jc w:val="left"/>
              <w:rPr>
                <w:b/>
              </w:rPr>
            </w:pPr>
            <w:r w:rsidRPr="000D3D8B">
              <w:rPr>
                <w:b/>
              </w:rPr>
              <w:t xml:space="preserve">Objetivo 6. </w:t>
            </w:r>
          </w:p>
          <w:p w:rsidR="00000052" w:rsidRPr="000D3D8B" w:rsidRDefault="00000052" w:rsidP="00000052">
            <w:pPr>
              <w:ind w:firstLine="0"/>
              <w:jc w:val="left"/>
            </w:pPr>
            <w:r w:rsidRPr="000D3D8B">
              <w:t xml:space="preserve">Mantener la sustentabilidad de la Institución. </w:t>
            </w:r>
          </w:p>
        </w:tc>
      </w:tr>
    </w:tbl>
    <w:p w:rsidR="00000052" w:rsidRPr="00C21A75" w:rsidRDefault="00000052" w:rsidP="00000052"/>
    <w:p w:rsidR="00000052" w:rsidRPr="009A01F0" w:rsidRDefault="00000052" w:rsidP="00000052">
      <w:pPr>
        <w:pStyle w:val="Ttulo1"/>
      </w:pPr>
      <w:bookmarkStart w:id="7" w:name="_Toc259122271"/>
      <w:bookmarkStart w:id="8" w:name="_Toc259880917"/>
      <w:bookmarkStart w:id="9" w:name="_Toc386131527"/>
      <w:r w:rsidRPr="009A01F0">
        <w:t>Objetivos, estrategias y líneas de acción</w:t>
      </w:r>
      <w:bookmarkEnd w:id="7"/>
      <w:r>
        <w:t>.</w:t>
      </w:r>
      <w:bookmarkEnd w:id="8"/>
      <w:bookmarkEnd w:id="9"/>
    </w:p>
    <w:p w:rsidR="00000052" w:rsidRPr="00C21A75" w:rsidRDefault="00000052" w:rsidP="00000052"/>
    <w:p w:rsidR="00000052" w:rsidRPr="00B47F47" w:rsidRDefault="00000052" w:rsidP="00000052">
      <w:r w:rsidRPr="00C21A75">
        <w:t>Para cumplir con los Objetivos del PND y del PRONAFIDE, en el presente capítulo se describen los objetivos, estrategias y líneas de acción que el Programa Institucional de la Financiera Nacional de Desarrollo Agropecuario, Rural, Forestal y Pesquero 2013-2018 propone para asegurar que nuestro país cuente con crédito que le permitan elevar la productividad y mejorar el nivel de vida de la población en el sector agroalimentario y rural.</w:t>
      </w:r>
    </w:p>
    <w:p w:rsidR="00000052" w:rsidRPr="00C21A75" w:rsidRDefault="00000052" w:rsidP="00000052">
      <w:r w:rsidRPr="00B47F47">
        <w:t xml:space="preserve">El Programa Institucional cuenta </w:t>
      </w:r>
      <w:r w:rsidRPr="002D062A">
        <w:t xml:space="preserve">con </w:t>
      </w:r>
      <w:r w:rsidRPr="00CE3324">
        <w:t>6 objetivos, 20 estrategias y 6</w:t>
      </w:r>
      <w:r w:rsidR="004B4BC2">
        <w:t>6</w:t>
      </w:r>
      <w:r w:rsidRPr="00CE3324">
        <w:t xml:space="preserve"> líneas de acción.</w:t>
      </w:r>
      <w:r w:rsidRPr="002D062A">
        <w:t xml:space="preserve"> Cabe</w:t>
      </w:r>
      <w:r w:rsidRPr="00B47F47">
        <w:t xml:space="preserve"> señalar que las estrategias y líneas de acción, tienen como base principal las estrategias y objetivos señalados tanto en el PRONAFIDE, como en el Programa Sectorial de Desarrollo Agropecuario, Pesquero y Alimentario 2013-2018.</w:t>
      </w:r>
    </w:p>
    <w:p w:rsidR="00000052" w:rsidRPr="00C21A75" w:rsidRDefault="00000052" w:rsidP="00000052">
      <w:r w:rsidRPr="00C21A75">
        <w:t>Adicionalmente, al considerar los dos Programas Sectoriales (PRONAFIDE y</w:t>
      </w:r>
      <w:r>
        <w:t xml:space="preserve"> </w:t>
      </w:r>
      <w:r w:rsidRPr="00B47F47">
        <w:t>Programa Sectorial de Desarrollo Agropecuario, Pesquero y Alimentario</w:t>
      </w:r>
      <w:r w:rsidRPr="00C21A75">
        <w:t>), en el marco de planeación de la Entidad, se evitará duplicidad de funciones</w:t>
      </w:r>
      <w:r>
        <w:t xml:space="preserve"> y la</w:t>
      </w:r>
      <w:r w:rsidRPr="00C21A75">
        <w:t xml:space="preserve"> dispersión de esfuerzos. Por otra parte, se considera la incorporación dentro de las estrategias</w:t>
      </w:r>
      <w:r>
        <w:t xml:space="preserve"> y las líneas de acción</w:t>
      </w:r>
      <w:r w:rsidRPr="00C21A75">
        <w:t xml:space="preserve">, la relacionada con Democratizar la Productividad, la cual incide </w:t>
      </w:r>
      <w:r w:rsidRPr="00C21A75">
        <w:lastRenderedPageBreak/>
        <w:t>directamente en mejorar la cobertura de crédito en el sector</w:t>
      </w:r>
      <w:r w:rsidR="004B4BC2">
        <w:t>, particularmente en temas de género e innovación</w:t>
      </w:r>
      <w:r w:rsidRPr="00C21A75">
        <w:t>.</w:t>
      </w:r>
    </w:p>
    <w:p w:rsidR="00000052" w:rsidRDefault="00000052" w:rsidP="00000052">
      <w:r>
        <w:t>Los objetivos, las estrategias y, particularmente, las acciones que se proponen, siguen las directrices que ha marcado el Gobierno de la República para incrementar sustancialmente el financiamiento en la economía.</w:t>
      </w:r>
    </w:p>
    <w:p w:rsidR="00000052" w:rsidRDefault="00000052" w:rsidP="00000052">
      <w:r>
        <w:rPr>
          <w:lang w:eastAsia="es-MX"/>
        </w:rPr>
        <w:t>Estas acciones son congruentes con los objetivos y ejes centrales de la Reforma Financiera en materia de Banca de Desarrollo, que debe organizarse con estructuras flexibles para reaccionar con agilidad para subsanar las fallas de mercado bajo los lineamientos de las políticas públicas aplicables.</w:t>
      </w:r>
    </w:p>
    <w:p w:rsidR="00000052" w:rsidRDefault="00000052" w:rsidP="00000052">
      <w:pPr>
        <w:spacing w:before="120" w:after="240"/>
        <w:contextualSpacing/>
        <w:rPr>
          <w:lang w:eastAsia="es-MX"/>
        </w:rPr>
      </w:pPr>
      <w:r>
        <w:rPr>
          <w:lang w:eastAsia="es-MX"/>
        </w:rPr>
        <w:t xml:space="preserve">En este sentido, la Institución deberá tener una estrecha coordinación con las demás instituciones de Banca de Desarrollo en el sector rural, así como con las demás instancias que operen programas de subsidio, en congruencia con la política pública en materia del campo. </w:t>
      </w:r>
    </w:p>
    <w:p w:rsidR="00000052" w:rsidRDefault="00000052" w:rsidP="00000052">
      <w:pPr>
        <w:spacing w:before="120" w:after="240"/>
        <w:contextualSpacing/>
        <w:rPr>
          <w:lang w:eastAsia="es-MX"/>
        </w:rPr>
      </w:pPr>
      <w:r>
        <w:rPr>
          <w:lang w:eastAsia="es-MX"/>
        </w:rPr>
        <w:t>La forma específica de articular el sistema de financiamiento y subsidios para el sector debe responder y ser parte integral de la Reforma para el Campo que se encuentra en proceso de elaboración.</w:t>
      </w:r>
    </w:p>
    <w:p w:rsidR="00000052" w:rsidRPr="00E87D2B" w:rsidRDefault="00000052" w:rsidP="00000052">
      <w:pPr>
        <w:ind w:firstLine="0"/>
      </w:pPr>
    </w:p>
    <w:p w:rsidR="00000052" w:rsidRPr="00336FEF" w:rsidRDefault="00000052" w:rsidP="00000052">
      <w:pPr>
        <w:rPr>
          <w:b/>
        </w:rPr>
      </w:pPr>
      <w:r w:rsidRPr="00336FEF">
        <w:rPr>
          <w:b/>
        </w:rPr>
        <w:t>Objetivo 1.</w:t>
      </w:r>
      <w:r>
        <w:rPr>
          <w:b/>
        </w:rPr>
        <w:t xml:space="preserve"> </w:t>
      </w:r>
      <w:r w:rsidRPr="0043710C">
        <w:rPr>
          <w:b/>
        </w:rPr>
        <w:t>Incrementar el saldo de financiamiento, mejorando las condiciones a los sectores de aten</w:t>
      </w:r>
      <w:r>
        <w:rPr>
          <w:b/>
        </w:rPr>
        <w:t xml:space="preserve">ción en </w:t>
      </w:r>
      <w:r w:rsidRPr="0043710C">
        <w:rPr>
          <w:b/>
        </w:rPr>
        <w:t>primer piso, segundo piso e inducido</w:t>
      </w:r>
      <w:r>
        <w:rPr>
          <w:b/>
        </w:rPr>
        <w:t>.</w:t>
      </w:r>
    </w:p>
    <w:p w:rsidR="00000052" w:rsidRDefault="00000052" w:rsidP="00000052"/>
    <w:p w:rsidR="00FB1D8E" w:rsidRDefault="00FB1D8E" w:rsidP="00FB1D8E">
      <w:pPr>
        <w:pStyle w:val="Texto"/>
        <w:rPr>
          <w:u w:val="single"/>
        </w:rPr>
      </w:pPr>
      <w:r w:rsidRPr="00336FEF">
        <w:rPr>
          <w:u w:val="single"/>
        </w:rPr>
        <w:t>Justificación</w:t>
      </w:r>
    </w:p>
    <w:p w:rsidR="00FB1D8E" w:rsidRPr="0070465A" w:rsidRDefault="00FB1D8E" w:rsidP="00FB1D8E">
      <w:pPr>
        <w:pStyle w:val="Texto"/>
      </w:pPr>
      <w:r>
        <w:t xml:space="preserve">Para resolver la problemática descrita en el Plan Nacional de Desarrollo y los Programas Sectoriales, será necesario incrementar en forma sustancial el saldo de financiamiento en el sector. Por ende, se hará una activa promoción de las herramientas con las que cuenta la Institución, se mejorarán las condiciones de financiamiento y se crearán nuevos programas y productos para atender a los clientes. </w:t>
      </w:r>
    </w:p>
    <w:p w:rsidR="00FB1D8E" w:rsidRPr="009A5F58" w:rsidRDefault="00FB1D8E" w:rsidP="00FB1D8E"/>
    <w:p w:rsidR="00000052" w:rsidRPr="002D09F2" w:rsidRDefault="00000052" w:rsidP="00000052">
      <w:pPr>
        <w:pStyle w:val="EST"/>
        <w:rPr>
          <w:u w:val="none"/>
        </w:rPr>
      </w:pPr>
      <w:r w:rsidRPr="00B47F47">
        <w:t>Estrategia 1.1</w:t>
      </w:r>
      <w:r>
        <w:rPr>
          <w:u w:val="none"/>
        </w:rPr>
        <w:tab/>
      </w:r>
      <w:r w:rsidRPr="0043710C">
        <w:rPr>
          <w:u w:val="none"/>
        </w:rPr>
        <w:t>Revis</w:t>
      </w:r>
      <w:r>
        <w:rPr>
          <w:u w:val="none"/>
        </w:rPr>
        <w:t>ar</w:t>
      </w:r>
      <w:r w:rsidRPr="0043710C">
        <w:rPr>
          <w:u w:val="none"/>
        </w:rPr>
        <w:t xml:space="preserve"> las condiciones de financiamiento</w:t>
      </w:r>
      <w:r>
        <w:rPr>
          <w:u w:val="none"/>
        </w:rPr>
        <w:t>.</w:t>
      </w:r>
    </w:p>
    <w:p w:rsidR="00000052" w:rsidRPr="00E87D2B" w:rsidRDefault="00000052" w:rsidP="00000052">
      <w:pPr>
        <w:pStyle w:val="LIN"/>
        <w:rPr>
          <w:u w:val="none"/>
        </w:rPr>
      </w:pPr>
      <w:r>
        <w:t xml:space="preserve">Línea de acción </w:t>
      </w:r>
      <w:r w:rsidRPr="00C21A75">
        <w:t>1.1.1</w:t>
      </w:r>
      <w:r w:rsidRPr="003B50A9">
        <w:rPr>
          <w:u w:val="none"/>
        </w:rPr>
        <w:t xml:space="preserve"> </w:t>
      </w:r>
      <w:r w:rsidRPr="0043710C">
        <w:rPr>
          <w:u w:val="none"/>
        </w:rPr>
        <w:t>Revis</w:t>
      </w:r>
      <w:r>
        <w:rPr>
          <w:u w:val="none"/>
        </w:rPr>
        <w:t>ar</w:t>
      </w:r>
      <w:r w:rsidRPr="0043710C">
        <w:rPr>
          <w:u w:val="none"/>
        </w:rPr>
        <w:t xml:space="preserve"> las políticas de tasas de interés y otras</w:t>
      </w:r>
      <w:r>
        <w:rPr>
          <w:u w:val="none"/>
        </w:rPr>
        <w:t xml:space="preserve"> condiciones del financiamiento.</w:t>
      </w:r>
    </w:p>
    <w:p w:rsidR="00000052" w:rsidRDefault="00000052" w:rsidP="00000052">
      <w:pPr>
        <w:tabs>
          <w:tab w:val="left" w:pos="567"/>
          <w:tab w:val="left" w:pos="2166"/>
        </w:tabs>
        <w:ind w:left="426" w:firstLine="141"/>
      </w:pPr>
      <w:r w:rsidRPr="00E87D2B">
        <w:rPr>
          <w:u w:val="single"/>
          <w:lang w:val="es-ES"/>
        </w:rPr>
        <w:t>Línea de acción 1.1.2</w:t>
      </w:r>
      <w:r w:rsidRPr="009A5F58">
        <w:t xml:space="preserve"> </w:t>
      </w:r>
      <w:r>
        <w:t>Establecer políticas de condiciones preferenciales focalizadas.</w:t>
      </w:r>
    </w:p>
    <w:p w:rsidR="00000052" w:rsidRPr="00F9094C" w:rsidRDefault="00000052" w:rsidP="00000052">
      <w:pPr>
        <w:tabs>
          <w:tab w:val="left" w:pos="709"/>
          <w:tab w:val="left" w:pos="2166"/>
        </w:tabs>
        <w:ind w:left="567" w:firstLine="0"/>
      </w:pPr>
      <w:r>
        <w:rPr>
          <w:rFonts w:eastAsia="Times New Roman"/>
          <w:szCs w:val="20"/>
          <w:u w:val="single"/>
          <w:lang w:eastAsia="es-ES"/>
        </w:rPr>
        <w:t xml:space="preserve">Línea de acción 1.1.3 </w:t>
      </w:r>
      <w:r>
        <w:rPr>
          <w:rFonts w:eastAsia="Times New Roman"/>
          <w:szCs w:val="20"/>
          <w:lang w:eastAsia="es-ES"/>
        </w:rPr>
        <w:t>Asumir riesgo proyecto, adoptando medidas de mitigación de garantías distintas a las actuales.</w:t>
      </w:r>
    </w:p>
    <w:p w:rsidR="00000052" w:rsidRPr="0043710C" w:rsidRDefault="00000052" w:rsidP="00000052">
      <w:pPr>
        <w:pStyle w:val="LIN"/>
        <w:rPr>
          <w:lang w:val="es-MX"/>
        </w:rPr>
      </w:pPr>
    </w:p>
    <w:p w:rsidR="00000052" w:rsidRPr="00E87D2B" w:rsidRDefault="00000052" w:rsidP="00000052">
      <w:pPr>
        <w:pStyle w:val="EST"/>
        <w:rPr>
          <w:u w:val="none"/>
        </w:rPr>
      </w:pPr>
      <w:r w:rsidRPr="00C21A75">
        <w:t>Estrategia 1.2</w:t>
      </w:r>
      <w:r w:rsidRPr="0040105D">
        <w:rPr>
          <w:u w:val="none"/>
        </w:rPr>
        <w:tab/>
      </w:r>
      <w:r w:rsidRPr="0043710C">
        <w:rPr>
          <w:u w:val="none"/>
        </w:rPr>
        <w:t>Generar programas y productos, complementarios a las políticas públicas que resuelvan adecuadamente la problemática específica que aqueja al sector primario y rural</w:t>
      </w:r>
      <w:r>
        <w:rPr>
          <w:u w:val="none"/>
        </w:rPr>
        <w:t>.</w:t>
      </w:r>
    </w:p>
    <w:p w:rsidR="00000052" w:rsidRDefault="00000052" w:rsidP="00000052">
      <w:pPr>
        <w:ind w:left="567" w:firstLine="0"/>
      </w:pPr>
      <w:r w:rsidRPr="0043710C">
        <w:rPr>
          <w:rFonts w:eastAsia="Times New Roman"/>
          <w:szCs w:val="20"/>
          <w:u w:val="single"/>
          <w:lang w:val="es-ES" w:eastAsia="es-ES"/>
        </w:rPr>
        <w:t>Línea de acción 1.2.1</w:t>
      </w:r>
      <w:r w:rsidRPr="0040105D">
        <w:t xml:space="preserve"> </w:t>
      </w:r>
      <w:r>
        <w:t>Realizar diagnósticos para cada uno de los subsectores.</w:t>
      </w:r>
    </w:p>
    <w:p w:rsidR="00000052" w:rsidRPr="009A5F58" w:rsidRDefault="00000052" w:rsidP="00000052">
      <w:pPr>
        <w:ind w:left="567" w:firstLine="0"/>
      </w:pPr>
      <w:r w:rsidRPr="00E87D2B">
        <w:rPr>
          <w:u w:val="single"/>
          <w:lang w:val="es-ES"/>
        </w:rPr>
        <w:t>Línea de acción 1.2.2</w:t>
      </w:r>
      <w:r>
        <w:t xml:space="preserve"> Revisar los programas y productos existentes para adecuarlos a las </w:t>
      </w:r>
      <w:r w:rsidRPr="009A5F58">
        <w:t xml:space="preserve">necesidades </w:t>
      </w:r>
      <w:r>
        <w:t>del mercado</w:t>
      </w:r>
      <w:r w:rsidRPr="009A5F58">
        <w:t>.</w:t>
      </w:r>
    </w:p>
    <w:p w:rsidR="00000052" w:rsidRPr="00E87D2B" w:rsidRDefault="00000052" w:rsidP="00000052">
      <w:pPr>
        <w:pStyle w:val="LIN"/>
        <w:rPr>
          <w:lang w:val="es-MX"/>
        </w:rPr>
      </w:pPr>
    </w:p>
    <w:p w:rsidR="00000052" w:rsidRDefault="00000052" w:rsidP="00000052">
      <w:pPr>
        <w:pStyle w:val="EST"/>
      </w:pPr>
      <w:r w:rsidRPr="00A745C9">
        <w:t>Estrategia 1.3</w:t>
      </w:r>
      <w:r w:rsidRPr="00A745C9">
        <w:rPr>
          <w:szCs w:val="22"/>
          <w:u w:val="none"/>
        </w:rPr>
        <w:tab/>
      </w:r>
      <w:r w:rsidRPr="00A745C9">
        <w:rPr>
          <w:u w:val="none"/>
        </w:rPr>
        <w:t>Simplificar la normatividad.</w:t>
      </w:r>
    </w:p>
    <w:p w:rsidR="00000052" w:rsidRPr="00E87D2B" w:rsidRDefault="00000052" w:rsidP="00000052">
      <w:pPr>
        <w:ind w:left="567" w:firstLine="0"/>
        <w:rPr>
          <w:lang w:val="es-ES"/>
        </w:rPr>
      </w:pPr>
      <w:r w:rsidRPr="00E87D2B">
        <w:rPr>
          <w:u w:val="single"/>
          <w:lang w:val="es-ES"/>
        </w:rPr>
        <w:t>Línea de acción 1.3.1</w:t>
      </w:r>
      <w:r w:rsidRPr="00E87D2B">
        <w:rPr>
          <w:lang w:val="es-ES"/>
        </w:rPr>
        <w:t xml:space="preserve"> </w:t>
      </w:r>
      <w:r>
        <w:rPr>
          <w:rFonts w:eastAsia="Times New Roman"/>
          <w:szCs w:val="20"/>
          <w:lang w:val="es-ES" w:eastAsia="es-ES"/>
        </w:rPr>
        <w:t>Revisar</w:t>
      </w:r>
      <w:r w:rsidRPr="00E87D2B">
        <w:rPr>
          <w:lang w:val="es-ES"/>
        </w:rPr>
        <w:t xml:space="preserve"> </w:t>
      </w:r>
      <w:r w:rsidRPr="0043710C">
        <w:rPr>
          <w:rFonts w:eastAsia="Times New Roman"/>
          <w:szCs w:val="20"/>
          <w:lang w:val="es-ES" w:eastAsia="es-ES"/>
        </w:rPr>
        <w:t>los Manuales y Políticas aplicables</w:t>
      </w:r>
      <w:r w:rsidRPr="00E87D2B">
        <w:rPr>
          <w:lang w:val="es-ES"/>
        </w:rPr>
        <w:t xml:space="preserve"> en el otorgamiento </w:t>
      </w:r>
      <w:r w:rsidRPr="0043710C">
        <w:rPr>
          <w:rFonts w:eastAsia="Times New Roman"/>
          <w:szCs w:val="20"/>
          <w:lang w:val="es-ES" w:eastAsia="es-ES"/>
        </w:rPr>
        <w:t>del financiamiento</w:t>
      </w:r>
      <w:r w:rsidRPr="00E87D2B">
        <w:rPr>
          <w:lang w:val="es-ES"/>
        </w:rPr>
        <w:t>.</w:t>
      </w:r>
    </w:p>
    <w:p w:rsidR="00000052" w:rsidRDefault="00000052" w:rsidP="00000052">
      <w:pPr>
        <w:ind w:left="567" w:firstLine="0"/>
      </w:pPr>
      <w:r w:rsidRPr="00E87D2B">
        <w:rPr>
          <w:u w:val="single"/>
        </w:rPr>
        <w:t>Línea de acción 1.3.2</w:t>
      </w:r>
      <w:r w:rsidRPr="009A5F58">
        <w:t xml:space="preserve"> </w:t>
      </w:r>
      <w:r>
        <w:t>Adecuar los procesos internos</w:t>
      </w:r>
      <w:r w:rsidRPr="009A5F58">
        <w:t xml:space="preserve"> para </w:t>
      </w:r>
      <w:r>
        <w:t xml:space="preserve">agilizar </w:t>
      </w:r>
      <w:r w:rsidRPr="009A5F58">
        <w:t xml:space="preserve">la </w:t>
      </w:r>
      <w:r>
        <w:t>autorización del crédito, reporto</w:t>
      </w:r>
      <w:r w:rsidRPr="009A5F58">
        <w:t xml:space="preserve"> y </w:t>
      </w:r>
      <w:r>
        <w:t>apoyos</w:t>
      </w:r>
      <w:r w:rsidRPr="009A5F58">
        <w:t>.</w:t>
      </w:r>
    </w:p>
    <w:p w:rsidR="00000052" w:rsidRPr="00E87D2B" w:rsidRDefault="00000052" w:rsidP="00000052">
      <w:pPr>
        <w:pStyle w:val="LIN"/>
        <w:rPr>
          <w:lang w:val="es-MX"/>
        </w:rPr>
      </w:pPr>
    </w:p>
    <w:p w:rsidR="00000052" w:rsidRPr="0040105D" w:rsidRDefault="00000052" w:rsidP="00000052">
      <w:pPr>
        <w:pStyle w:val="EST"/>
        <w:rPr>
          <w:u w:val="none"/>
        </w:rPr>
      </w:pPr>
      <w:r w:rsidRPr="00C21A75">
        <w:t>Estrategia 1.4</w:t>
      </w:r>
      <w:r w:rsidRPr="0040105D">
        <w:rPr>
          <w:u w:val="none"/>
        </w:rPr>
        <w:tab/>
      </w:r>
      <w:r>
        <w:rPr>
          <w:u w:val="none"/>
        </w:rPr>
        <w:t>Modernizar los sistemas informáticos.</w:t>
      </w:r>
    </w:p>
    <w:p w:rsidR="00000052" w:rsidRDefault="00000052" w:rsidP="00000052">
      <w:pPr>
        <w:ind w:left="567" w:firstLine="0"/>
      </w:pPr>
      <w:r w:rsidRPr="00E87D2B">
        <w:rPr>
          <w:u w:val="single"/>
          <w:lang w:val="es-ES"/>
        </w:rPr>
        <w:t>Línea de acción 1.4.1</w:t>
      </w:r>
      <w:r w:rsidRPr="009A5F58">
        <w:t xml:space="preserve"> </w:t>
      </w:r>
      <w:r>
        <w:t>Implementar una nueva plataforma que integre los procesos actuales</w:t>
      </w:r>
      <w:r w:rsidRPr="009A5F58">
        <w:t xml:space="preserve"> de crédito</w:t>
      </w:r>
      <w:r>
        <w:t>, reporto y apoyos.</w:t>
      </w:r>
    </w:p>
    <w:p w:rsidR="00000052" w:rsidRDefault="00000052" w:rsidP="00000052">
      <w:pPr>
        <w:pStyle w:val="LIN"/>
        <w:rPr>
          <w:u w:val="none"/>
        </w:rPr>
      </w:pPr>
      <w:r w:rsidRPr="00C21A75">
        <w:t>Línea de acción 1.4.2</w:t>
      </w:r>
      <w:r w:rsidRPr="0040105D">
        <w:rPr>
          <w:u w:val="none"/>
        </w:rPr>
        <w:t xml:space="preserve"> I</w:t>
      </w:r>
      <w:r>
        <w:rPr>
          <w:u w:val="none"/>
        </w:rPr>
        <w:t>ntegrar las bases de datos.</w:t>
      </w:r>
    </w:p>
    <w:p w:rsidR="00000052" w:rsidRPr="00E87D2B" w:rsidRDefault="00000052" w:rsidP="00000052">
      <w:pPr>
        <w:pStyle w:val="LIN"/>
        <w:rPr>
          <w:u w:val="none"/>
        </w:rPr>
      </w:pPr>
      <w:r>
        <w:t xml:space="preserve">Línea de acción 1.4.3. </w:t>
      </w:r>
      <w:r>
        <w:rPr>
          <w:u w:val="none"/>
        </w:rPr>
        <w:t>Mejorar la infraestructura física para la captura de datos.</w:t>
      </w:r>
    </w:p>
    <w:p w:rsidR="00000052" w:rsidRDefault="00000052" w:rsidP="00000052">
      <w:pPr>
        <w:pStyle w:val="LIN"/>
        <w:rPr>
          <w:u w:val="none"/>
        </w:rPr>
      </w:pPr>
      <w:r>
        <w:t xml:space="preserve">Línea de </w:t>
      </w:r>
      <w:r w:rsidRPr="0043710C">
        <w:t>acción 1.4.4</w:t>
      </w:r>
      <w:r>
        <w:rPr>
          <w:u w:val="none"/>
        </w:rPr>
        <w:t xml:space="preserve">. Establecer un sistema de inteligencia de negocios para la toma de decisiones. </w:t>
      </w:r>
    </w:p>
    <w:p w:rsidR="00000052" w:rsidRDefault="00000052" w:rsidP="00000052">
      <w:pPr>
        <w:pStyle w:val="LIN"/>
        <w:rPr>
          <w:u w:val="none"/>
        </w:rPr>
      </w:pPr>
    </w:p>
    <w:p w:rsidR="00000052" w:rsidRPr="00E87D2B" w:rsidRDefault="00000052" w:rsidP="00000052">
      <w:pPr>
        <w:pStyle w:val="EST"/>
        <w:rPr>
          <w:u w:val="none"/>
        </w:rPr>
      </w:pPr>
      <w:r>
        <w:t>Estrategia 1.5</w:t>
      </w:r>
      <w:r w:rsidRPr="0040105D">
        <w:rPr>
          <w:u w:val="none"/>
        </w:rPr>
        <w:tab/>
      </w:r>
      <w:r>
        <w:rPr>
          <w:u w:val="none"/>
        </w:rPr>
        <w:t>Instrumentar un esquema de administración de riesgos para los productores.</w:t>
      </w:r>
    </w:p>
    <w:p w:rsidR="00000052" w:rsidRDefault="00000052" w:rsidP="00000052">
      <w:pPr>
        <w:ind w:left="567" w:firstLine="0"/>
      </w:pPr>
      <w:r w:rsidRPr="00E87D2B">
        <w:rPr>
          <w:u w:val="single"/>
          <w:lang w:val="es-ES"/>
        </w:rPr>
        <w:t>Línea de acción 1.5.1</w:t>
      </w:r>
      <w:r w:rsidRPr="009A5F58">
        <w:t xml:space="preserve"> </w:t>
      </w:r>
      <w:r>
        <w:t>Promover una mayor utilización de seguros agropecuarios.</w:t>
      </w:r>
    </w:p>
    <w:p w:rsidR="00000052" w:rsidRDefault="00000052" w:rsidP="00000052">
      <w:pPr>
        <w:pStyle w:val="LIN"/>
        <w:rPr>
          <w:u w:val="none"/>
        </w:rPr>
      </w:pPr>
      <w:r>
        <w:lastRenderedPageBreak/>
        <w:t>Línea de acción 1.5</w:t>
      </w:r>
      <w:r w:rsidRPr="00C21A75">
        <w:t>.2</w:t>
      </w:r>
      <w:r w:rsidRPr="0040105D">
        <w:rPr>
          <w:u w:val="none"/>
        </w:rPr>
        <w:t xml:space="preserve"> </w:t>
      </w:r>
      <w:r>
        <w:rPr>
          <w:u w:val="none"/>
        </w:rPr>
        <w:t>Incorporar coberturas de precios a la producción y a la comercialización proporcionando las soluciones financieras correspondientes.</w:t>
      </w:r>
    </w:p>
    <w:p w:rsidR="00000052" w:rsidRDefault="00000052" w:rsidP="00000052">
      <w:pPr>
        <w:pStyle w:val="LIN"/>
        <w:rPr>
          <w:u w:val="none"/>
        </w:rPr>
      </w:pPr>
      <w:r>
        <w:t>Línea</w:t>
      </w:r>
      <w:r w:rsidRPr="00E87D2B">
        <w:t xml:space="preserve"> de </w:t>
      </w:r>
      <w:r w:rsidR="00704A91">
        <w:t>acción 1.5.3</w:t>
      </w:r>
      <w:r w:rsidR="00704A91" w:rsidRPr="00704A91">
        <w:rPr>
          <w:u w:val="none"/>
        </w:rPr>
        <w:t xml:space="preserve"> </w:t>
      </w:r>
      <w:r>
        <w:rPr>
          <w:u w:val="none"/>
        </w:rPr>
        <w:t>Analizar la conveniencia de que la Institución ofrezca productos integrales que incluyan financiamiento y coberturas principalmente a pequeños productores.</w:t>
      </w:r>
    </w:p>
    <w:p w:rsidR="00000052" w:rsidRDefault="00000052" w:rsidP="00000052">
      <w:pPr>
        <w:pStyle w:val="LIN"/>
        <w:rPr>
          <w:u w:val="none"/>
        </w:rPr>
      </w:pPr>
      <w:r>
        <w:t>Línea de acción 1.5</w:t>
      </w:r>
      <w:r w:rsidRPr="0043710C">
        <w:t>.4</w:t>
      </w:r>
      <w:r>
        <w:rPr>
          <w:u w:val="none"/>
        </w:rPr>
        <w:t xml:space="preserve"> Analizar nuevas figuras de administración de riesgo (seguros e ingresos, esquemas de comercialización asegurada, seguros de saldo deudor, seguro de vida, etc.)</w:t>
      </w:r>
    </w:p>
    <w:p w:rsidR="00000052" w:rsidRDefault="00000052" w:rsidP="00000052">
      <w:pPr>
        <w:pStyle w:val="LIN"/>
        <w:rPr>
          <w:u w:val="none"/>
        </w:rPr>
      </w:pPr>
      <w:r>
        <w:t>Línea de acción 1.5.5</w:t>
      </w:r>
      <w:r>
        <w:rPr>
          <w:u w:val="none"/>
        </w:rPr>
        <w:t xml:space="preserve"> Contar con programas y productos de crédito que atiendan oportunamente a los productores en caso de desastres naturales.</w:t>
      </w:r>
    </w:p>
    <w:p w:rsidR="00000052" w:rsidRDefault="00000052" w:rsidP="00000052"/>
    <w:p w:rsidR="00000052" w:rsidRPr="0040105D" w:rsidRDefault="00000052" w:rsidP="00000052">
      <w:pPr>
        <w:rPr>
          <w:b/>
        </w:rPr>
      </w:pPr>
      <w:r w:rsidRPr="0040105D">
        <w:rPr>
          <w:b/>
        </w:rPr>
        <w:t xml:space="preserve">Objetivo 2. Incrementar la </w:t>
      </w:r>
      <w:r>
        <w:rPr>
          <w:b/>
        </w:rPr>
        <w:t>inversión en activos fijos para el sector agroalimentario y rural.</w:t>
      </w:r>
      <w:r w:rsidRPr="0040105D">
        <w:rPr>
          <w:b/>
        </w:rPr>
        <w:t xml:space="preserve"> </w:t>
      </w:r>
    </w:p>
    <w:p w:rsidR="00000052" w:rsidRDefault="00000052" w:rsidP="00000052"/>
    <w:p w:rsidR="00FB1D8E" w:rsidRPr="0040105D" w:rsidRDefault="00FB1D8E" w:rsidP="00FB1D8E">
      <w:pPr>
        <w:pStyle w:val="Texto"/>
        <w:rPr>
          <w:u w:val="single"/>
        </w:rPr>
      </w:pPr>
      <w:r w:rsidRPr="0040105D">
        <w:rPr>
          <w:u w:val="single"/>
        </w:rPr>
        <w:t>Justificación</w:t>
      </w:r>
    </w:p>
    <w:p w:rsidR="00FB1D8E" w:rsidRPr="00F9094C" w:rsidRDefault="00FB1D8E" w:rsidP="00FB1D8E">
      <w:r>
        <w:t>El incremento</w:t>
      </w:r>
      <w:r w:rsidR="0069725E">
        <w:t xml:space="preserve"> en la productividad del sector</w:t>
      </w:r>
      <w:r>
        <w:t xml:space="preserve"> requiere de una mayor inversión en activos fijos. Dadas las características que tienen estas inversiones, el crédito se convierte en la herramienta ideal para ampliar la infraestructura en el sector agroalimentario y rural</w:t>
      </w:r>
      <w:r w:rsidRPr="00F9094C">
        <w:t>.</w:t>
      </w:r>
      <w:r>
        <w:t xml:space="preserve"> Por ello, se promoverán nuevos esquemas de financiamiento para impulsar la capitalización del sector. </w:t>
      </w:r>
    </w:p>
    <w:p w:rsidR="00FB1D8E" w:rsidRPr="00B47F47" w:rsidRDefault="00FB1D8E" w:rsidP="00000052"/>
    <w:p w:rsidR="00000052" w:rsidRPr="00C21A75" w:rsidRDefault="00000052" w:rsidP="00000052">
      <w:pPr>
        <w:pStyle w:val="EST"/>
      </w:pPr>
      <w:r w:rsidRPr="00B47F47">
        <w:t>Estrategia 2.1</w:t>
      </w:r>
      <w:r w:rsidRPr="009B2393">
        <w:rPr>
          <w:u w:val="none"/>
        </w:rPr>
        <w:tab/>
      </w:r>
      <w:r>
        <w:rPr>
          <w:u w:val="none"/>
        </w:rPr>
        <w:t>Establecer programa específicos de financiamiento para la creación de activos</w:t>
      </w:r>
      <w:r w:rsidR="0069725E">
        <w:rPr>
          <w:u w:val="none"/>
        </w:rPr>
        <w:t xml:space="preserve"> de largo plazo</w:t>
      </w:r>
      <w:r>
        <w:rPr>
          <w:u w:val="none"/>
        </w:rPr>
        <w:t>.</w:t>
      </w:r>
    </w:p>
    <w:p w:rsidR="00000052" w:rsidRPr="009B2393" w:rsidRDefault="00000052" w:rsidP="00000052">
      <w:pPr>
        <w:pStyle w:val="LIN"/>
        <w:rPr>
          <w:u w:val="none"/>
        </w:rPr>
      </w:pPr>
      <w:r w:rsidRPr="00C21A75">
        <w:t>Línea de acción 2.1.1</w:t>
      </w:r>
      <w:r w:rsidRPr="009B2393">
        <w:rPr>
          <w:u w:val="none"/>
        </w:rPr>
        <w:t xml:space="preserve"> </w:t>
      </w:r>
      <w:r>
        <w:rPr>
          <w:u w:val="none"/>
        </w:rPr>
        <w:t>Promover el financiamiento de activos en cada una de las actividades de la cadena productiva, especialmente en la producción y comercialización.</w:t>
      </w:r>
    </w:p>
    <w:p w:rsidR="00000052" w:rsidRPr="00C21A75" w:rsidRDefault="00000052" w:rsidP="00000052">
      <w:pPr>
        <w:pStyle w:val="LIN"/>
      </w:pPr>
      <w:r w:rsidRPr="00C21A75">
        <w:t>Línea de acción 2.1.2</w:t>
      </w:r>
      <w:r w:rsidRPr="009B2393">
        <w:rPr>
          <w:szCs w:val="22"/>
          <w:u w:val="none"/>
        </w:rPr>
        <w:t xml:space="preserve"> </w:t>
      </w:r>
      <w:r>
        <w:rPr>
          <w:u w:val="none"/>
        </w:rPr>
        <w:t>Vincular el financiamiento de activos con los programas de apoyos otorgados por la SAGARPA.</w:t>
      </w:r>
    </w:p>
    <w:p w:rsidR="00000052" w:rsidRPr="009B2393" w:rsidRDefault="00000052" w:rsidP="00000052">
      <w:pPr>
        <w:pStyle w:val="LIN"/>
        <w:rPr>
          <w:u w:val="none"/>
        </w:rPr>
      </w:pPr>
      <w:r w:rsidRPr="00C21A75">
        <w:t>Línea de acción 2.1.3</w:t>
      </w:r>
      <w:r w:rsidRPr="009B2393">
        <w:rPr>
          <w:szCs w:val="22"/>
          <w:u w:val="none"/>
        </w:rPr>
        <w:t xml:space="preserve"> </w:t>
      </w:r>
      <w:r>
        <w:rPr>
          <w:u w:val="none"/>
        </w:rPr>
        <w:t>Promover el otorgamiento de asistencia técnica de la operación de activos productivos.</w:t>
      </w:r>
    </w:p>
    <w:p w:rsidR="00000052" w:rsidRPr="00E87D2B" w:rsidRDefault="00000052" w:rsidP="00000052">
      <w:pPr>
        <w:pStyle w:val="LIN"/>
        <w:rPr>
          <w:u w:val="none"/>
        </w:rPr>
      </w:pPr>
      <w:r w:rsidRPr="00C21A75">
        <w:t>Línea de acción 2.1.</w:t>
      </w:r>
      <w:r>
        <w:t>4</w:t>
      </w:r>
      <w:r w:rsidRPr="009B2393">
        <w:rPr>
          <w:szCs w:val="22"/>
          <w:u w:val="none"/>
        </w:rPr>
        <w:t xml:space="preserve"> </w:t>
      </w:r>
      <w:r>
        <w:rPr>
          <w:u w:val="none"/>
        </w:rPr>
        <w:t>Promover el mejoramiento de la tecnología y la utilización de activos en la cartera existente de clientes.</w:t>
      </w:r>
    </w:p>
    <w:p w:rsidR="00000052" w:rsidRPr="009A01F0" w:rsidRDefault="00000052" w:rsidP="00000052">
      <w:pPr>
        <w:pStyle w:val="LIN"/>
      </w:pPr>
    </w:p>
    <w:p w:rsidR="00000052" w:rsidRPr="00C21A75" w:rsidRDefault="00000052" w:rsidP="00000052">
      <w:pPr>
        <w:pStyle w:val="EST"/>
      </w:pPr>
      <w:r>
        <w:t>Estrategia 2.2</w:t>
      </w:r>
      <w:r w:rsidRPr="009B2393">
        <w:rPr>
          <w:szCs w:val="22"/>
          <w:u w:val="none"/>
        </w:rPr>
        <w:tab/>
      </w:r>
      <w:r>
        <w:rPr>
          <w:u w:val="none"/>
        </w:rPr>
        <w:t xml:space="preserve">Incrementar el financiamiento en tecnificación </w:t>
      </w:r>
    </w:p>
    <w:p w:rsidR="00000052" w:rsidRPr="00E87D2B" w:rsidRDefault="00000052" w:rsidP="00000052">
      <w:pPr>
        <w:pStyle w:val="LIN"/>
      </w:pPr>
      <w:r w:rsidRPr="00C21A75">
        <w:t>Línea de acción 2.2.1</w:t>
      </w:r>
      <w:r w:rsidRPr="009B2393">
        <w:rPr>
          <w:u w:val="none"/>
        </w:rPr>
        <w:t xml:space="preserve"> </w:t>
      </w:r>
      <w:r>
        <w:rPr>
          <w:u w:val="none"/>
        </w:rPr>
        <w:t>Establecer productos específicos de financiamiento para alcanzar mayores niveles de rendimiento en las superficies de producción.</w:t>
      </w:r>
    </w:p>
    <w:p w:rsidR="00000052" w:rsidRDefault="00000052" w:rsidP="00000052">
      <w:pPr>
        <w:pStyle w:val="LIN"/>
        <w:rPr>
          <w:u w:val="none"/>
        </w:rPr>
      </w:pPr>
      <w:r w:rsidRPr="00C21A75">
        <w:t>Línea de acción 2.2.2</w:t>
      </w:r>
      <w:r w:rsidRPr="009B2393">
        <w:rPr>
          <w:u w:val="none"/>
        </w:rPr>
        <w:t xml:space="preserve"> </w:t>
      </w:r>
      <w:r>
        <w:rPr>
          <w:u w:val="none"/>
        </w:rPr>
        <w:t>Determinar las zonas geográficas que requieren atención prioritaria y de financiamiento para alcanzar las metas de producción</w:t>
      </w:r>
      <w:r w:rsidRPr="009B2393">
        <w:rPr>
          <w:u w:val="none"/>
        </w:rPr>
        <w:t>.</w:t>
      </w:r>
    </w:p>
    <w:p w:rsidR="00000052" w:rsidRPr="009B2393" w:rsidRDefault="00000052" w:rsidP="00000052">
      <w:pPr>
        <w:pStyle w:val="LIN"/>
        <w:rPr>
          <w:u w:val="none"/>
        </w:rPr>
      </w:pPr>
      <w:r>
        <w:t>Línea de acción 2.2.3</w:t>
      </w:r>
      <w:r w:rsidRPr="009B2393">
        <w:rPr>
          <w:u w:val="none"/>
        </w:rPr>
        <w:t xml:space="preserve"> </w:t>
      </w:r>
      <w:r>
        <w:rPr>
          <w:u w:val="none"/>
        </w:rPr>
        <w:t>Promover la elaboración de prospectivas de activos fijos por subsector y región con cuantificación de inversiones.</w:t>
      </w:r>
    </w:p>
    <w:p w:rsidR="00000052" w:rsidRPr="009B2393" w:rsidRDefault="00000052" w:rsidP="00000052">
      <w:pPr>
        <w:pStyle w:val="LIN"/>
        <w:rPr>
          <w:u w:val="none"/>
        </w:rPr>
      </w:pPr>
      <w:r>
        <w:t>Línea de acción 2.2.4</w:t>
      </w:r>
      <w:r w:rsidRPr="009B2393">
        <w:rPr>
          <w:u w:val="none"/>
        </w:rPr>
        <w:t xml:space="preserve"> </w:t>
      </w:r>
      <w:r>
        <w:rPr>
          <w:u w:val="none"/>
        </w:rPr>
        <w:t>Otorgar financiamiento que promueva la innovación y vinculación con centros de investigación.</w:t>
      </w:r>
    </w:p>
    <w:p w:rsidR="00000052" w:rsidRPr="009B2393" w:rsidRDefault="00000052" w:rsidP="00000052">
      <w:pPr>
        <w:pStyle w:val="LIN"/>
        <w:rPr>
          <w:u w:val="none"/>
        </w:rPr>
      </w:pPr>
    </w:p>
    <w:p w:rsidR="00000052" w:rsidRDefault="00000052" w:rsidP="00000052">
      <w:pPr>
        <w:pStyle w:val="EST"/>
        <w:rPr>
          <w:u w:val="none"/>
        </w:rPr>
      </w:pPr>
      <w:r>
        <w:t>Estrategia 2.3</w:t>
      </w:r>
      <w:r>
        <w:rPr>
          <w:u w:val="none"/>
        </w:rPr>
        <w:tab/>
        <w:t>Revisar y definir programas y productos de crédito.</w:t>
      </w:r>
    </w:p>
    <w:p w:rsidR="00000052" w:rsidRPr="00327E44" w:rsidRDefault="00000052" w:rsidP="00000052">
      <w:pPr>
        <w:pStyle w:val="LIN"/>
        <w:rPr>
          <w:u w:val="none"/>
        </w:rPr>
      </w:pPr>
      <w:r w:rsidRPr="00327E44">
        <w:t>Línea de acción 2.3.1</w:t>
      </w:r>
      <w:r>
        <w:rPr>
          <w:u w:val="none"/>
        </w:rPr>
        <w:t xml:space="preserve"> </w:t>
      </w:r>
      <w:r w:rsidRPr="00327E44">
        <w:rPr>
          <w:u w:val="none"/>
        </w:rPr>
        <w:t xml:space="preserve">Establecer programas de gran alcance para la estructuración </w:t>
      </w:r>
      <w:r>
        <w:rPr>
          <w:u w:val="none"/>
        </w:rPr>
        <w:t>de proyectos de capitalización.</w:t>
      </w:r>
    </w:p>
    <w:p w:rsidR="00000052" w:rsidRPr="00327E44" w:rsidRDefault="0069725E" w:rsidP="00000052">
      <w:pPr>
        <w:pStyle w:val="LIN"/>
        <w:rPr>
          <w:u w:val="none"/>
        </w:rPr>
      </w:pPr>
      <w:r>
        <w:t>Línea de acción 2.3.2</w:t>
      </w:r>
      <w:r w:rsidR="00000052" w:rsidRPr="00327E44">
        <w:rPr>
          <w:u w:val="none"/>
        </w:rPr>
        <w:t xml:space="preserve"> Promover esquemas de arrendamiento en l</w:t>
      </w:r>
      <w:r w:rsidR="00000052">
        <w:rPr>
          <w:u w:val="none"/>
        </w:rPr>
        <w:t>as distintas regiones del país.</w:t>
      </w:r>
    </w:p>
    <w:p w:rsidR="00000052" w:rsidRPr="00327E44" w:rsidRDefault="0069725E" w:rsidP="00000052">
      <w:pPr>
        <w:pStyle w:val="LIN"/>
      </w:pPr>
      <w:r>
        <w:t>Línea de acción 2.3.3</w:t>
      </w:r>
      <w:r w:rsidR="00000052" w:rsidRPr="00327E44">
        <w:rPr>
          <w:u w:val="none"/>
        </w:rPr>
        <w:t xml:space="preserve"> Establecer esquemas que reduzcan los requerimientos de garantías para la constitución de activos a los clientes.</w:t>
      </w:r>
    </w:p>
    <w:p w:rsidR="00000052" w:rsidRDefault="00000052" w:rsidP="00000052">
      <w:pPr>
        <w:spacing w:line="240" w:lineRule="auto"/>
        <w:ind w:firstLine="288"/>
        <w:jc w:val="left"/>
      </w:pPr>
    </w:p>
    <w:p w:rsidR="00000052" w:rsidRDefault="00000052" w:rsidP="00000052">
      <w:pPr>
        <w:spacing w:line="240" w:lineRule="auto"/>
        <w:ind w:firstLine="288"/>
        <w:jc w:val="left"/>
        <w:rPr>
          <w:b/>
        </w:rPr>
      </w:pPr>
      <w:r w:rsidRPr="001D1589">
        <w:rPr>
          <w:b/>
        </w:rPr>
        <w:t>Objetivo 3. Incrementar la oferta financiera con especial énfasis en pequeños productores</w:t>
      </w:r>
      <w:r>
        <w:rPr>
          <w:b/>
        </w:rPr>
        <w:t>.</w:t>
      </w:r>
    </w:p>
    <w:p w:rsidR="00000052" w:rsidRDefault="00000052" w:rsidP="00000052"/>
    <w:p w:rsidR="00FB1D8E" w:rsidRPr="0070465A" w:rsidRDefault="00FB1D8E" w:rsidP="00FB1D8E">
      <w:pPr>
        <w:pStyle w:val="Texto"/>
        <w:rPr>
          <w:u w:val="single"/>
        </w:rPr>
      </w:pPr>
      <w:r w:rsidRPr="0070465A">
        <w:rPr>
          <w:u w:val="single"/>
        </w:rPr>
        <w:t xml:space="preserve">Justificación. </w:t>
      </w:r>
    </w:p>
    <w:p w:rsidR="00FB1D8E" w:rsidRDefault="00FB1D8E" w:rsidP="00FB1D8E">
      <w:r>
        <w:lastRenderedPageBreak/>
        <w:t xml:space="preserve">Para reducir las desigualdades que enfrenta el sector, y particularmente en aquellos </w:t>
      </w:r>
      <w:r w:rsidR="0069725E">
        <w:t xml:space="preserve">pequeños </w:t>
      </w:r>
      <w:r>
        <w:t>productores que tienen bajos niveles de activos productivos, será necesario diseñar acciones de financiamiento que permitan a este segmento, recibir recursos en forma oportuna bajo mejores condiciones y con una simplificación de requisitos. La creación de una amplia base de productores permitirá al país atender, con mejores condiciones, sus requerimientos en materia de alimentación.</w:t>
      </w:r>
    </w:p>
    <w:p w:rsidR="00FB1D8E" w:rsidRPr="00327E44" w:rsidRDefault="00FB1D8E" w:rsidP="00FB1D8E"/>
    <w:p w:rsidR="00000052" w:rsidRDefault="00000052" w:rsidP="00000052">
      <w:pPr>
        <w:pStyle w:val="EST"/>
        <w:rPr>
          <w:u w:val="none"/>
        </w:rPr>
      </w:pPr>
      <w:r>
        <w:t>Estrategia 3.1</w:t>
      </w:r>
      <w:r>
        <w:rPr>
          <w:u w:val="none"/>
        </w:rPr>
        <w:tab/>
        <w:t>Contar con una oferta crediticia apropiada para los pequeños productores.</w:t>
      </w:r>
    </w:p>
    <w:p w:rsidR="00000052" w:rsidRPr="00327E44" w:rsidRDefault="00000052" w:rsidP="00000052">
      <w:pPr>
        <w:pStyle w:val="LIN"/>
        <w:rPr>
          <w:u w:val="none"/>
        </w:rPr>
      </w:pPr>
      <w:r w:rsidRPr="00327E44">
        <w:t>Línea de acci</w:t>
      </w:r>
      <w:r>
        <w:t>ón 3.1</w:t>
      </w:r>
      <w:r w:rsidRPr="00327E44">
        <w:t>.1</w:t>
      </w:r>
      <w:r>
        <w:rPr>
          <w:u w:val="none"/>
        </w:rPr>
        <w:t xml:space="preserve"> Contar con diagnósticos que permitan diseñar programas y productos que atiendan las necesidades de los pequeños productores.</w:t>
      </w:r>
    </w:p>
    <w:p w:rsidR="00000052" w:rsidRPr="00327E44" w:rsidRDefault="00000052" w:rsidP="00000052">
      <w:pPr>
        <w:pStyle w:val="LIN"/>
        <w:rPr>
          <w:u w:val="none"/>
        </w:rPr>
      </w:pPr>
      <w:r w:rsidRPr="00327E44">
        <w:t>Línea de acci</w:t>
      </w:r>
      <w:r>
        <w:t>ón 3.1</w:t>
      </w:r>
      <w:r w:rsidRPr="00327E44">
        <w:t>.2</w:t>
      </w:r>
      <w:r>
        <w:rPr>
          <w:u w:val="none"/>
        </w:rPr>
        <w:t xml:space="preserve"> Contar con un mayor número de paquetes </w:t>
      </w:r>
      <w:r w:rsidR="0069725E">
        <w:rPr>
          <w:u w:val="none"/>
        </w:rPr>
        <w:t>tecnológicos</w:t>
      </w:r>
      <w:r>
        <w:rPr>
          <w:u w:val="none"/>
        </w:rPr>
        <w:t xml:space="preserve"> para agilizar la autorización de crédito.</w:t>
      </w:r>
    </w:p>
    <w:p w:rsidR="00000052" w:rsidRPr="00327E44" w:rsidRDefault="00000052" w:rsidP="00000052">
      <w:pPr>
        <w:pStyle w:val="LIN"/>
      </w:pPr>
      <w:r w:rsidRPr="00327E44">
        <w:t>Línea de acci</w:t>
      </w:r>
      <w:r>
        <w:t>ón 3.1.3</w:t>
      </w:r>
      <w:r w:rsidRPr="00327E44">
        <w:rPr>
          <w:u w:val="none"/>
        </w:rPr>
        <w:t xml:space="preserve"> </w:t>
      </w:r>
      <w:r>
        <w:rPr>
          <w:u w:val="none"/>
        </w:rPr>
        <w:t>Mantener actualizado el inventario de líneas paramétricas, considerando las metas de producción sectoriales.</w:t>
      </w:r>
    </w:p>
    <w:p w:rsidR="00000052" w:rsidRPr="00327E44" w:rsidRDefault="00000052" w:rsidP="00000052">
      <w:pPr>
        <w:pStyle w:val="LIN"/>
      </w:pPr>
      <w:r w:rsidRPr="00327E44">
        <w:t>Línea de acci</w:t>
      </w:r>
      <w:r>
        <w:t>ón 3.1.4</w:t>
      </w:r>
      <w:r w:rsidRPr="00327E44">
        <w:rPr>
          <w:u w:val="none"/>
        </w:rPr>
        <w:t xml:space="preserve"> </w:t>
      </w:r>
      <w:r>
        <w:rPr>
          <w:u w:val="none"/>
        </w:rPr>
        <w:t xml:space="preserve">Ofrecer programas y productos de crédito </w:t>
      </w:r>
      <w:r w:rsidR="0069725E">
        <w:rPr>
          <w:u w:val="none"/>
        </w:rPr>
        <w:t>con mejores condiciones de financiamiento.</w:t>
      </w:r>
    </w:p>
    <w:p w:rsidR="00000052" w:rsidRPr="00327E44" w:rsidRDefault="00000052" w:rsidP="00000052">
      <w:pPr>
        <w:pStyle w:val="Ttulo3"/>
        <w:rPr>
          <w:lang w:val="es-ES"/>
        </w:rPr>
      </w:pPr>
    </w:p>
    <w:p w:rsidR="00000052" w:rsidRDefault="00000052" w:rsidP="00000052">
      <w:pPr>
        <w:pStyle w:val="EST"/>
        <w:rPr>
          <w:u w:val="none"/>
        </w:rPr>
      </w:pPr>
      <w:r w:rsidRPr="00A745C9">
        <w:t>Estrategia 3.2</w:t>
      </w:r>
      <w:r w:rsidRPr="00A745C9">
        <w:rPr>
          <w:u w:val="none"/>
        </w:rPr>
        <w:tab/>
        <w:t>Revisar y simplificar la normatividad.</w:t>
      </w:r>
    </w:p>
    <w:p w:rsidR="00000052" w:rsidRPr="00327E44" w:rsidRDefault="00000052" w:rsidP="00000052">
      <w:pPr>
        <w:pStyle w:val="LIN"/>
        <w:rPr>
          <w:u w:val="none"/>
        </w:rPr>
      </w:pPr>
      <w:r w:rsidRPr="00327E44">
        <w:t>Línea de acci</w:t>
      </w:r>
      <w:r>
        <w:t>ón 3.2</w:t>
      </w:r>
      <w:r w:rsidRPr="00327E44">
        <w:t>.1</w:t>
      </w:r>
      <w:r>
        <w:rPr>
          <w:u w:val="none"/>
        </w:rPr>
        <w:t xml:space="preserve"> Reducir los tiempos de autorización para las solicitudes de financiamiento de pequeños productores.</w:t>
      </w:r>
    </w:p>
    <w:p w:rsidR="00000052" w:rsidRPr="00327E44" w:rsidRDefault="00000052" w:rsidP="00000052">
      <w:pPr>
        <w:pStyle w:val="LIN"/>
        <w:rPr>
          <w:u w:val="none"/>
        </w:rPr>
      </w:pPr>
      <w:r w:rsidRPr="00327E44">
        <w:t>Línea de acci</w:t>
      </w:r>
      <w:r>
        <w:t>ón 3.2.2</w:t>
      </w:r>
      <w:r w:rsidRPr="00327E44">
        <w:rPr>
          <w:u w:val="none"/>
        </w:rPr>
        <w:t xml:space="preserve"> </w:t>
      </w:r>
      <w:r>
        <w:rPr>
          <w:u w:val="none"/>
        </w:rPr>
        <w:t xml:space="preserve">Simplificar los requisitos de autorización para el otorgamiento de financiamiento  </w:t>
      </w:r>
    </w:p>
    <w:p w:rsidR="00000052" w:rsidRPr="00327E44" w:rsidRDefault="00000052" w:rsidP="00000052">
      <w:pPr>
        <w:pStyle w:val="Ttulo3"/>
        <w:rPr>
          <w:lang w:val="es-ES"/>
        </w:rPr>
      </w:pPr>
    </w:p>
    <w:p w:rsidR="00000052" w:rsidRDefault="00000052" w:rsidP="00000052">
      <w:pPr>
        <w:pStyle w:val="EST"/>
        <w:rPr>
          <w:u w:val="none"/>
        </w:rPr>
      </w:pPr>
      <w:r>
        <w:t>Estrategia 3.3</w:t>
      </w:r>
      <w:r>
        <w:rPr>
          <w:u w:val="none"/>
        </w:rPr>
        <w:tab/>
        <w:t>Revisar y simplificar colaterales de crédito.</w:t>
      </w:r>
    </w:p>
    <w:p w:rsidR="00000052" w:rsidRPr="00327E44" w:rsidRDefault="00000052" w:rsidP="00000052">
      <w:pPr>
        <w:pStyle w:val="LIN"/>
        <w:rPr>
          <w:u w:val="none"/>
        </w:rPr>
      </w:pPr>
      <w:r w:rsidRPr="00327E44">
        <w:t>Línea de acci</w:t>
      </w:r>
      <w:r>
        <w:t>ón 3.3</w:t>
      </w:r>
      <w:r w:rsidRPr="00327E44">
        <w:t>.1</w:t>
      </w:r>
      <w:r w:rsidRPr="00327E44">
        <w:rPr>
          <w:u w:val="none"/>
        </w:rPr>
        <w:t xml:space="preserve">. </w:t>
      </w:r>
      <w:r>
        <w:rPr>
          <w:u w:val="none"/>
        </w:rPr>
        <w:t>Revisar los niveles de cobertura de garantías para la realización de proyectos productivos.</w:t>
      </w:r>
    </w:p>
    <w:p w:rsidR="00000052" w:rsidRDefault="00000052" w:rsidP="00000052">
      <w:pPr>
        <w:pStyle w:val="LIN"/>
        <w:rPr>
          <w:u w:val="none"/>
        </w:rPr>
      </w:pPr>
      <w:r w:rsidRPr="00327E44">
        <w:t>Línea de acci</w:t>
      </w:r>
      <w:r>
        <w:t>ón 3.3</w:t>
      </w:r>
      <w:r w:rsidRPr="00327E44">
        <w:t>.2.</w:t>
      </w:r>
      <w:r w:rsidRPr="00327E44">
        <w:rPr>
          <w:u w:val="none"/>
        </w:rPr>
        <w:t xml:space="preserve"> </w:t>
      </w:r>
      <w:r>
        <w:rPr>
          <w:u w:val="none"/>
        </w:rPr>
        <w:t>Establecer nuevos mecanismos para el otorgamiento de garantías a pequeños productores.</w:t>
      </w:r>
    </w:p>
    <w:p w:rsidR="00000052" w:rsidRDefault="00000052" w:rsidP="00000052">
      <w:pPr>
        <w:pStyle w:val="Ttulo3"/>
        <w:ind w:firstLine="0"/>
      </w:pPr>
    </w:p>
    <w:p w:rsidR="00000052" w:rsidRDefault="00000052" w:rsidP="00000052">
      <w:pPr>
        <w:rPr>
          <w:b/>
        </w:rPr>
      </w:pPr>
      <w:r w:rsidRPr="004A5575">
        <w:rPr>
          <w:b/>
        </w:rPr>
        <w:t xml:space="preserve">Objetivo 4. </w:t>
      </w:r>
      <w:r>
        <w:rPr>
          <w:b/>
        </w:rPr>
        <w:t>Desarrollar y fortalecer Intermediarios Financieros Rurales para lograr una cobertura nacional.</w:t>
      </w:r>
    </w:p>
    <w:p w:rsidR="00FB1D8E" w:rsidRPr="004A5575" w:rsidRDefault="00FB1D8E" w:rsidP="00FB1D8E"/>
    <w:p w:rsidR="00FB1D8E" w:rsidRPr="0070465A" w:rsidRDefault="0069725E" w:rsidP="00FB1D8E">
      <w:pPr>
        <w:pStyle w:val="Texto"/>
        <w:rPr>
          <w:u w:val="single"/>
        </w:rPr>
      </w:pPr>
      <w:r>
        <w:rPr>
          <w:u w:val="single"/>
        </w:rPr>
        <w:t>Justificación.</w:t>
      </w:r>
    </w:p>
    <w:p w:rsidR="00FB1D8E" w:rsidRDefault="00FB1D8E" w:rsidP="00FB1D8E">
      <w:r>
        <w:t>Como se señaló en el diagnóstico, la Institución ha tenido resultados importantes en el otorgamiento de crédito a través de Intermediarios Financieros Rurales. Por ello, se profundizará la utilización de este mecanismo, profesionalizando a los Intermediarios existentes, creando nuevos Intermediarios, y modernizando las operaciones que se realizan a través de los créditos de segundo piso.</w:t>
      </w:r>
    </w:p>
    <w:p w:rsidR="00FB1D8E" w:rsidRPr="004A5575" w:rsidRDefault="00FB1D8E" w:rsidP="00FB1D8E"/>
    <w:p w:rsidR="00000052" w:rsidRDefault="00000052" w:rsidP="00000052">
      <w:pPr>
        <w:pStyle w:val="EST"/>
        <w:rPr>
          <w:u w:val="none"/>
        </w:rPr>
      </w:pPr>
      <w:r>
        <w:t>Estrategia 4.1.</w:t>
      </w:r>
      <w:r>
        <w:rPr>
          <w:u w:val="none"/>
        </w:rPr>
        <w:tab/>
        <w:t>Fortalecer a los Intermediarios Financieros existentes.</w:t>
      </w:r>
    </w:p>
    <w:p w:rsidR="00000052" w:rsidRPr="00327E44" w:rsidRDefault="00000052" w:rsidP="00000052">
      <w:pPr>
        <w:pStyle w:val="LIN"/>
        <w:rPr>
          <w:u w:val="none"/>
        </w:rPr>
      </w:pPr>
      <w:r w:rsidRPr="00327E44">
        <w:t>Línea de acci</w:t>
      </w:r>
      <w:r>
        <w:t>ón 4.1</w:t>
      </w:r>
      <w:r w:rsidRPr="00327E44">
        <w:t>.1</w:t>
      </w:r>
      <w:r>
        <w:rPr>
          <w:u w:val="none"/>
        </w:rPr>
        <w:t xml:space="preserve"> Revisar las condiciones y requisitos de los programas o normatividad respectivas.</w:t>
      </w:r>
    </w:p>
    <w:p w:rsidR="00000052" w:rsidRDefault="00000052" w:rsidP="00000052">
      <w:pPr>
        <w:pStyle w:val="LIN"/>
        <w:rPr>
          <w:u w:val="none"/>
        </w:rPr>
      </w:pPr>
      <w:r w:rsidRPr="00327E44">
        <w:t>Línea de acci</w:t>
      </w:r>
      <w:r>
        <w:t>ón 4.1.2</w:t>
      </w:r>
      <w:r>
        <w:rPr>
          <w:u w:val="none"/>
        </w:rPr>
        <w:t xml:space="preserve"> Promover la utilización de apoyos que permitan profesionalizar y fortalecer para ampliar la cobertura de Intermediarios Financieros existentes, particularmente en sus finanzas, procesos, sistemas, gobierno corporativo y contabilidad.</w:t>
      </w:r>
    </w:p>
    <w:p w:rsidR="00000052" w:rsidRPr="00A957CF" w:rsidRDefault="00000052" w:rsidP="00000052">
      <w:pPr>
        <w:pStyle w:val="LIN"/>
        <w:rPr>
          <w:u w:val="none"/>
        </w:rPr>
      </w:pPr>
      <w:r w:rsidRPr="00327E44">
        <w:t>Línea de acci</w:t>
      </w:r>
      <w:r>
        <w:t>ón 4.1.3</w:t>
      </w:r>
      <w:r>
        <w:rPr>
          <w:u w:val="none"/>
        </w:rPr>
        <w:t xml:space="preserve"> Establecer programas y normatividad diferenciada para atender las características particulares de los Intermediarios Financieros y los Dispersores de Crédito.</w:t>
      </w:r>
    </w:p>
    <w:p w:rsidR="00000052" w:rsidRPr="00327E44" w:rsidRDefault="00000052" w:rsidP="00000052">
      <w:pPr>
        <w:pStyle w:val="LIN"/>
      </w:pPr>
      <w:r w:rsidRPr="00327E44">
        <w:t>Línea de acci</w:t>
      </w:r>
      <w:r>
        <w:t>ón 4.1.4</w:t>
      </w:r>
      <w:r>
        <w:rPr>
          <w:u w:val="none"/>
        </w:rPr>
        <w:t xml:space="preserve"> Establecer mecanismos de promoción para reactivar la operación con Intermediarios Financieros que actualmente no tienen saldo con la Institución.</w:t>
      </w:r>
    </w:p>
    <w:p w:rsidR="00000052" w:rsidRDefault="00000052" w:rsidP="00000052"/>
    <w:p w:rsidR="00000052" w:rsidRDefault="00000052" w:rsidP="00000052">
      <w:pPr>
        <w:pStyle w:val="EST"/>
        <w:rPr>
          <w:u w:val="none"/>
        </w:rPr>
      </w:pPr>
      <w:r>
        <w:t>Estrategia 4.2</w:t>
      </w:r>
      <w:r>
        <w:rPr>
          <w:u w:val="none"/>
        </w:rPr>
        <w:tab/>
        <w:t>Desarrollar nuevos Intermediarios Financieros.</w:t>
      </w:r>
    </w:p>
    <w:p w:rsidR="00000052" w:rsidRPr="00327E44" w:rsidRDefault="00000052" w:rsidP="00000052">
      <w:pPr>
        <w:pStyle w:val="LIN"/>
        <w:rPr>
          <w:u w:val="none"/>
        </w:rPr>
      </w:pPr>
      <w:r w:rsidRPr="00327E44">
        <w:lastRenderedPageBreak/>
        <w:t>Línea de acci</w:t>
      </w:r>
      <w:r>
        <w:t>ón 4.2</w:t>
      </w:r>
      <w:r w:rsidRPr="00327E44">
        <w:t>.1</w:t>
      </w:r>
      <w:r w:rsidRPr="00327E44">
        <w:rPr>
          <w:u w:val="none"/>
        </w:rPr>
        <w:t xml:space="preserve"> </w:t>
      </w:r>
      <w:r>
        <w:rPr>
          <w:u w:val="none"/>
        </w:rPr>
        <w:t>Definir zonas de interés geográfico para la Institución que incrementen la cobertura de créditos.</w:t>
      </w:r>
    </w:p>
    <w:p w:rsidR="00000052" w:rsidRDefault="00000052" w:rsidP="00000052">
      <w:pPr>
        <w:pStyle w:val="LIN"/>
        <w:rPr>
          <w:u w:val="none"/>
        </w:rPr>
      </w:pPr>
      <w:r w:rsidRPr="00327E44">
        <w:t>Línea de acci</w:t>
      </w:r>
      <w:r>
        <w:t>ón 4.2.2</w:t>
      </w:r>
      <w:r w:rsidRPr="00327E44">
        <w:rPr>
          <w:u w:val="none"/>
        </w:rPr>
        <w:t xml:space="preserve"> </w:t>
      </w:r>
      <w:r>
        <w:rPr>
          <w:u w:val="none"/>
        </w:rPr>
        <w:t>Destinar apoyos para la creación de nuevos Intermediarios.</w:t>
      </w:r>
    </w:p>
    <w:p w:rsidR="00000052" w:rsidRPr="00A957CF" w:rsidRDefault="00000052" w:rsidP="00000052">
      <w:pPr>
        <w:pStyle w:val="LIN"/>
        <w:rPr>
          <w:u w:val="none"/>
        </w:rPr>
      </w:pPr>
      <w:r w:rsidRPr="00327E44">
        <w:t>Línea de acci</w:t>
      </w:r>
      <w:r>
        <w:t>ón 4.2.3</w:t>
      </w:r>
      <w:r>
        <w:rPr>
          <w:u w:val="none"/>
        </w:rPr>
        <w:t xml:space="preserve"> Establecer alianzas con Gobiernos y organizaciones para crear y fondear inicialmente Intermediarios Financieros.</w:t>
      </w:r>
    </w:p>
    <w:p w:rsidR="00000052" w:rsidRPr="00327E44" w:rsidRDefault="00000052" w:rsidP="00000052">
      <w:pPr>
        <w:pStyle w:val="LIN"/>
      </w:pPr>
      <w:r w:rsidRPr="00327E44">
        <w:t>Línea de acci</w:t>
      </w:r>
      <w:r>
        <w:t>ón 4.2.4</w:t>
      </w:r>
      <w:r>
        <w:rPr>
          <w:u w:val="none"/>
        </w:rPr>
        <w:t xml:space="preserve"> Crear condiciones que permitan a grupos de productores organizarse para conformar entidades dispersoras que operen de una forma profesional.</w:t>
      </w:r>
    </w:p>
    <w:p w:rsidR="00000052" w:rsidRDefault="00000052" w:rsidP="00000052"/>
    <w:p w:rsidR="00000052" w:rsidRDefault="00000052" w:rsidP="00000052">
      <w:pPr>
        <w:pStyle w:val="EST"/>
        <w:rPr>
          <w:u w:val="none"/>
        </w:rPr>
      </w:pPr>
      <w:r>
        <w:t>Estrategia 4.3.</w:t>
      </w:r>
      <w:r>
        <w:rPr>
          <w:u w:val="none"/>
        </w:rPr>
        <w:tab/>
        <w:t>Modernizar la operación con Intermediarios Financieros.</w:t>
      </w:r>
    </w:p>
    <w:p w:rsidR="00000052" w:rsidRPr="00327E44" w:rsidRDefault="00000052" w:rsidP="00000052">
      <w:pPr>
        <w:pStyle w:val="LIN"/>
        <w:rPr>
          <w:u w:val="none"/>
        </w:rPr>
      </w:pPr>
      <w:r w:rsidRPr="00327E44">
        <w:t>Línea de acci</w:t>
      </w:r>
      <w:r>
        <w:t>ón 4.3</w:t>
      </w:r>
      <w:r w:rsidRPr="00327E44">
        <w:t>.1</w:t>
      </w:r>
      <w:r w:rsidRPr="00327E44">
        <w:rPr>
          <w:u w:val="none"/>
        </w:rPr>
        <w:t xml:space="preserve"> </w:t>
      </w:r>
      <w:r>
        <w:rPr>
          <w:u w:val="none"/>
        </w:rPr>
        <w:t>Establecer una plataforma única de captura de información.</w:t>
      </w:r>
    </w:p>
    <w:p w:rsidR="00000052" w:rsidRDefault="00000052" w:rsidP="00000052">
      <w:pPr>
        <w:pStyle w:val="LIN"/>
        <w:rPr>
          <w:u w:val="none"/>
        </w:rPr>
      </w:pPr>
      <w:r w:rsidRPr="00327E44">
        <w:t>Línea de acci</w:t>
      </w:r>
      <w:r>
        <w:t>ón 4.3.2</w:t>
      </w:r>
      <w:r w:rsidRPr="00327E44">
        <w:rPr>
          <w:u w:val="none"/>
        </w:rPr>
        <w:t xml:space="preserve"> </w:t>
      </w:r>
      <w:r>
        <w:rPr>
          <w:u w:val="none"/>
        </w:rPr>
        <w:t>Atender las dispersiones subsecuentes a la primera, mediante esquemas en línea.</w:t>
      </w:r>
    </w:p>
    <w:p w:rsidR="00000052" w:rsidRDefault="00000052" w:rsidP="00000052">
      <w:pPr>
        <w:pStyle w:val="LIN"/>
        <w:rPr>
          <w:u w:val="none"/>
        </w:rPr>
      </w:pPr>
      <w:r w:rsidRPr="00327E44">
        <w:t>Línea de acci</w:t>
      </w:r>
      <w:r>
        <w:t>ón 4.3.3</w:t>
      </w:r>
      <w:r>
        <w:rPr>
          <w:u w:val="none"/>
        </w:rPr>
        <w:t xml:space="preserve"> Contar con una base de datos única de acreditados finales de Intermediarios Financieros.</w:t>
      </w:r>
    </w:p>
    <w:p w:rsidR="00000052" w:rsidRPr="00A957CF" w:rsidRDefault="00000052" w:rsidP="00000052"/>
    <w:p w:rsidR="00000052" w:rsidRDefault="00000052" w:rsidP="00000052">
      <w:pPr>
        <w:pStyle w:val="EST"/>
        <w:rPr>
          <w:u w:val="none"/>
        </w:rPr>
      </w:pPr>
      <w:r>
        <w:t>Estrategia 4.4.</w:t>
      </w:r>
      <w:r>
        <w:rPr>
          <w:u w:val="none"/>
        </w:rPr>
        <w:tab/>
        <w:t>Alinear la oferta de crédito de los Intermediarios Financieros de forma que permitan replicar las estrategias de la Institución.</w:t>
      </w:r>
    </w:p>
    <w:p w:rsidR="00000052" w:rsidRPr="00327E44" w:rsidRDefault="00000052" w:rsidP="00000052">
      <w:pPr>
        <w:pStyle w:val="LIN"/>
        <w:rPr>
          <w:u w:val="none"/>
        </w:rPr>
      </w:pPr>
      <w:r w:rsidRPr="00327E44">
        <w:t>Línea de acci</w:t>
      </w:r>
      <w:r>
        <w:t>ón 4.4</w:t>
      </w:r>
      <w:r w:rsidRPr="00327E44">
        <w:t>.1</w:t>
      </w:r>
      <w:r w:rsidRPr="00327E44">
        <w:rPr>
          <w:u w:val="none"/>
        </w:rPr>
        <w:t xml:space="preserve"> </w:t>
      </w:r>
      <w:r>
        <w:rPr>
          <w:u w:val="none"/>
        </w:rPr>
        <w:t>Extender los objetivos de la Institución en los Intermediarios Financieros para pequeños productores y financiamiento de activos fijos.</w:t>
      </w:r>
    </w:p>
    <w:p w:rsidR="00000052" w:rsidRDefault="00000052" w:rsidP="00000052">
      <w:pPr>
        <w:pStyle w:val="LIN"/>
        <w:rPr>
          <w:u w:val="none"/>
        </w:rPr>
      </w:pPr>
      <w:r w:rsidRPr="00327E44">
        <w:t>Línea de acci</w:t>
      </w:r>
      <w:r>
        <w:t>ón 4.4.2</w:t>
      </w:r>
      <w:r w:rsidRPr="00327E44">
        <w:rPr>
          <w:u w:val="none"/>
        </w:rPr>
        <w:t xml:space="preserve"> </w:t>
      </w:r>
      <w:r>
        <w:rPr>
          <w:u w:val="none"/>
        </w:rPr>
        <w:t>Capacitar a los Intermediarios Financieros en el otorgamiento de crédito a pequeños productores y financiamiento de activos fijos.</w:t>
      </w:r>
    </w:p>
    <w:p w:rsidR="00000052" w:rsidRDefault="00000052" w:rsidP="00000052">
      <w:pPr>
        <w:pStyle w:val="LIN"/>
        <w:rPr>
          <w:u w:val="none"/>
        </w:rPr>
      </w:pPr>
      <w:r w:rsidRPr="00327E44">
        <w:t>Línea de acci</w:t>
      </w:r>
      <w:r>
        <w:t>ón 4.4.3</w:t>
      </w:r>
      <w:r>
        <w:rPr>
          <w:u w:val="none"/>
        </w:rPr>
        <w:t xml:space="preserve"> Proveer a los Intermediarios Financieros de esquemas equivalentes de mitigación de riesgo.</w:t>
      </w:r>
    </w:p>
    <w:p w:rsidR="00000052" w:rsidRDefault="00000052" w:rsidP="00000052">
      <w:pPr>
        <w:pStyle w:val="LIN"/>
        <w:rPr>
          <w:u w:val="none"/>
        </w:rPr>
      </w:pPr>
      <w:r w:rsidRPr="00327E44">
        <w:t>Línea de acci</w:t>
      </w:r>
      <w:r>
        <w:t>ón 4.4.4</w:t>
      </w:r>
      <w:r>
        <w:rPr>
          <w:u w:val="none"/>
        </w:rPr>
        <w:t xml:space="preserve"> Promocionar la Inclusión Financiera en Intermediarios Financieros para ampliar el acceso a créditos y seguros a través de esquemas de microcrédito.</w:t>
      </w:r>
    </w:p>
    <w:p w:rsidR="00000052" w:rsidRPr="00A957CF" w:rsidRDefault="00000052" w:rsidP="00000052">
      <w:pPr>
        <w:pStyle w:val="LIN"/>
        <w:rPr>
          <w:u w:val="none"/>
        </w:rPr>
      </w:pPr>
      <w:r w:rsidRPr="00327E44">
        <w:t>Línea de acci</w:t>
      </w:r>
      <w:r>
        <w:t>ón 4.4.5</w:t>
      </w:r>
      <w:r>
        <w:rPr>
          <w:u w:val="none"/>
        </w:rPr>
        <w:t xml:space="preserve"> Mejorar la atención y trato a productores pequeños, mujeres y personas con capacidades diferentes.</w:t>
      </w:r>
    </w:p>
    <w:p w:rsidR="00000052" w:rsidRPr="00A957CF" w:rsidRDefault="00000052" w:rsidP="00000052"/>
    <w:p w:rsidR="00000052" w:rsidRDefault="00000052" w:rsidP="00000052">
      <w:pPr>
        <w:rPr>
          <w:b/>
        </w:rPr>
      </w:pPr>
      <w:r w:rsidRPr="00B7583B">
        <w:rPr>
          <w:b/>
        </w:rPr>
        <w:t>Objetivo 5. Incrementar la cobertura de servicios de la Institución.</w:t>
      </w:r>
    </w:p>
    <w:p w:rsidR="00000052" w:rsidRDefault="00000052" w:rsidP="00000052">
      <w:pPr>
        <w:rPr>
          <w:b/>
        </w:rPr>
      </w:pPr>
    </w:p>
    <w:p w:rsidR="00FB1D8E" w:rsidRPr="0070465A" w:rsidRDefault="00FB1D8E" w:rsidP="00FB1D8E">
      <w:pPr>
        <w:pStyle w:val="Texto"/>
        <w:rPr>
          <w:u w:val="single"/>
        </w:rPr>
      </w:pPr>
      <w:r w:rsidRPr="0070465A">
        <w:rPr>
          <w:u w:val="single"/>
        </w:rPr>
        <w:t xml:space="preserve">Justificación. </w:t>
      </w:r>
    </w:p>
    <w:p w:rsidR="00FB1D8E" w:rsidRDefault="00FB1D8E" w:rsidP="00FB1D8E">
      <w:r>
        <w:t>Un mandato que tiene por Ley la Financiera radica en la atención del sector rural. Por ello, deberá contarse con productos y servicios específicos para el sector, a fin de contribuir al cumplimiento que se ha marcado el Gobierno de la República en materia de Inclusión Financiera.</w:t>
      </w:r>
    </w:p>
    <w:p w:rsidR="00FB1D8E" w:rsidRDefault="00FB1D8E" w:rsidP="00000052">
      <w:pPr>
        <w:rPr>
          <w:b/>
        </w:rPr>
      </w:pPr>
    </w:p>
    <w:p w:rsidR="00000052" w:rsidRDefault="00000052" w:rsidP="00000052">
      <w:pPr>
        <w:pStyle w:val="EST"/>
        <w:rPr>
          <w:u w:val="none"/>
        </w:rPr>
      </w:pPr>
      <w:r>
        <w:rPr>
          <w:u w:val="none"/>
        </w:rPr>
        <w:t xml:space="preserve">  </w:t>
      </w:r>
      <w:r>
        <w:t>Estrategia 5.1.</w:t>
      </w:r>
      <w:r>
        <w:rPr>
          <w:u w:val="none"/>
        </w:rPr>
        <w:tab/>
        <w:t>Fortalecer y diseñar productos de financiamiento focalizados.</w:t>
      </w:r>
    </w:p>
    <w:p w:rsidR="00000052" w:rsidRPr="00327E44" w:rsidRDefault="00000052" w:rsidP="00000052">
      <w:pPr>
        <w:pStyle w:val="LIN"/>
        <w:rPr>
          <w:u w:val="none"/>
        </w:rPr>
      </w:pPr>
      <w:r w:rsidRPr="00327E44">
        <w:t>Línea de acci</w:t>
      </w:r>
      <w:r>
        <w:t>ón 5.1</w:t>
      </w:r>
      <w:r w:rsidRPr="00327E44">
        <w:t>.1</w:t>
      </w:r>
      <w:r w:rsidRPr="00327E44">
        <w:rPr>
          <w:u w:val="none"/>
        </w:rPr>
        <w:t xml:space="preserve"> </w:t>
      </w:r>
      <w:r>
        <w:rPr>
          <w:u w:val="none"/>
        </w:rPr>
        <w:t>Diseñar productos que permitan desarrollar sujetos de crédito.</w:t>
      </w:r>
    </w:p>
    <w:p w:rsidR="00000052" w:rsidRDefault="00000052" w:rsidP="00000052">
      <w:pPr>
        <w:pStyle w:val="LIN"/>
        <w:rPr>
          <w:u w:val="none"/>
        </w:rPr>
      </w:pPr>
      <w:r w:rsidRPr="00327E44">
        <w:t>Línea de acci</w:t>
      </w:r>
      <w:r>
        <w:t>ón 5.1.2</w:t>
      </w:r>
      <w:r w:rsidRPr="00327E44">
        <w:rPr>
          <w:u w:val="none"/>
        </w:rPr>
        <w:t xml:space="preserve"> </w:t>
      </w:r>
      <w:r>
        <w:rPr>
          <w:u w:val="none"/>
        </w:rPr>
        <w:t>Detectar permanentemente las necesidades de servicios financieros.</w:t>
      </w:r>
    </w:p>
    <w:p w:rsidR="00000052" w:rsidRPr="00327E44" w:rsidRDefault="00000052" w:rsidP="00000052">
      <w:pPr>
        <w:pStyle w:val="LIN"/>
      </w:pPr>
      <w:r w:rsidRPr="00327E44">
        <w:t>Línea de acci</w:t>
      </w:r>
      <w:r>
        <w:t>ón 5.1.3</w:t>
      </w:r>
      <w:r>
        <w:rPr>
          <w:u w:val="none"/>
        </w:rPr>
        <w:t xml:space="preserve"> Promover la coordinación y colaboración interinstitucional.</w:t>
      </w:r>
    </w:p>
    <w:p w:rsidR="00000052" w:rsidRDefault="00000052" w:rsidP="00000052">
      <w:pPr>
        <w:pStyle w:val="LIN"/>
        <w:rPr>
          <w:u w:val="none"/>
        </w:rPr>
      </w:pPr>
      <w:r w:rsidRPr="00327E44">
        <w:t>Línea de acci</w:t>
      </w:r>
      <w:r>
        <w:t>ón 5.1.4</w:t>
      </w:r>
      <w:r>
        <w:rPr>
          <w:u w:val="none"/>
        </w:rPr>
        <w:t xml:space="preserve"> Desarrollar los programas y productos que atiendan la perspectiva de género y la innovación.</w:t>
      </w:r>
    </w:p>
    <w:p w:rsidR="00000052" w:rsidRPr="00327E44" w:rsidRDefault="00000052" w:rsidP="00000052"/>
    <w:p w:rsidR="00000052" w:rsidRDefault="00000052" w:rsidP="00000052">
      <w:pPr>
        <w:pStyle w:val="EST"/>
        <w:rPr>
          <w:u w:val="none"/>
        </w:rPr>
      </w:pPr>
      <w:r>
        <w:rPr>
          <w:u w:val="none"/>
        </w:rPr>
        <w:t xml:space="preserve">  </w:t>
      </w:r>
      <w:r>
        <w:t>Estrategia 5.2.</w:t>
      </w:r>
      <w:r>
        <w:rPr>
          <w:u w:val="none"/>
        </w:rPr>
        <w:tab/>
        <w:t>Capacitar a la población rural en la utilización del financiamiento.</w:t>
      </w:r>
    </w:p>
    <w:p w:rsidR="00000052" w:rsidRPr="00327E44" w:rsidRDefault="00000052" w:rsidP="00000052">
      <w:pPr>
        <w:pStyle w:val="LIN"/>
        <w:rPr>
          <w:u w:val="none"/>
        </w:rPr>
      </w:pPr>
      <w:r w:rsidRPr="00327E44">
        <w:t>Línea de acci</w:t>
      </w:r>
      <w:r>
        <w:t>ón 5.2</w:t>
      </w:r>
      <w:r w:rsidRPr="00327E44">
        <w:t>.1</w:t>
      </w:r>
      <w:r w:rsidRPr="00327E44">
        <w:rPr>
          <w:u w:val="none"/>
        </w:rPr>
        <w:t xml:space="preserve"> </w:t>
      </w:r>
      <w:r>
        <w:rPr>
          <w:u w:val="none"/>
        </w:rPr>
        <w:t>Realizar programas de capacitación en educación financiera.</w:t>
      </w:r>
    </w:p>
    <w:p w:rsidR="00000052" w:rsidRDefault="00000052" w:rsidP="00000052">
      <w:pPr>
        <w:pStyle w:val="LIN"/>
        <w:rPr>
          <w:u w:val="none"/>
        </w:rPr>
      </w:pPr>
      <w:r w:rsidRPr="00327E44">
        <w:t>Línea de acci</w:t>
      </w:r>
      <w:r>
        <w:t>ón 5.2.2</w:t>
      </w:r>
      <w:r w:rsidRPr="00327E44">
        <w:rPr>
          <w:u w:val="none"/>
        </w:rPr>
        <w:t xml:space="preserve"> </w:t>
      </w:r>
      <w:r>
        <w:rPr>
          <w:u w:val="none"/>
        </w:rPr>
        <w:t>Otorgar asistencia técnica en los sectores de atención.</w:t>
      </w:r>
    </w:p>
    <w:p w:rsidR="0069725E" w:rsidRDefault="0069725E" w:rsidP="00000052">
      <w:pPr>
        <w:pStyle w:val="LIN"/>
        <w:rPr>
          <w:u w:val="none"/>
        </w:rPr>
      </w:pPr>
      <w:r>
        <w:t>Línea de acción 5.2.</w:t>
      </w:r>
      <w:r w:rsidRPr="0069725E">
        <w:t>3</w:t>
      </w:r>
      <w:r w:rsidRPr="0069725E">
        <w:rPr>
          <w:u w:val="none"/>
        </w:rPr>
        <w:t xml:space="preserve"> Revisar y adecuar, en su caso, los program</w:t>
      </w:r>
      <w:r>
        <w:rPr>
          <w:u w:val="none"/>
        </w:rPr>
        <w:t>as de apoyos de la Institución en materia de capacitación, eventos para el desarrollo rural, integración de expedientes, etc.</w:t>
      </w:r>
    </w:p>
    <w:p w:rsidR="00000052" w:rsidRDefault="00000052" w:rsidP="00000052">
      <w:pPr>
        <w:pStyle w:val="EST"/>
        <w:rPr>
          <w:u w:val="none"/>
        </w:rPr>
      </w:pPr>
    </w:p>
    <w:p w:rsidR="00000052" w:rsidRDefault="00000052" w:rsidP="00000052">
      <w:pPr>
        <w:rPr>
          <w:b/>
        </w:rPr>
      </w:pPr>
      <w:r w:rsidRPr="0070465A">
        <w:rPr>
          <w:b/>
        </w:rPr>
        <w:t>Objetivo 6. Mantener la sustentabilidad de la Institución.</w:t>
      </w:r>
    </w:p>
    <w:p w:rsidR="00000052" w:rsidRDefault="00000052" w:rsidP="00000052">
      <w:pPr>
        <w:pStyle w:val="Ttulo3"/>
      </w:pPr>
    </w:p>
    <w:p w:rsidR="00FB1D8E" w:rsidRPr="0070465A" w:rsidRDefault="0069725E" w:rsidP="00FB1D8E">
      <w:pPr>
        <w:pStyle w:val="Texto"/>
        <w:rPr>
          <w:u w:val="single"/>
        </w:rPr>
      </w:pPr>
      <w:r>
        <w:rPr>
          <w:u w:val="single"/>
        </w:rPr>
        <w:t>Justificación.</w:t>
      </w:r>
    </w:p>
    <w:p w:rsidR="00FB1D8E" w:rsidRDefault="00FB1D8E" w:rsidP="00FB1D8E">
      <w:r>
        <w:t xml:space="preserve">La Reforma Financiera permitió a la Institución eliminar las restricciones que tenía en su Ley Orgánica relacionadas con la obligación de preservar su patrimonio. De acuerdo al texto actual únicamente se requiere mantener la sustentabilidad y por ende, será necesario establecer las acciones que permitan mantener dicha sustentabilidad sin poner en riesgo, como ocurrió en el pasado, su viabilidad. </w:t>
      </w:r>
    </w:p>
    <w:p w:rsidR="00FB1D8E" w:rsidRDefault="00FB1D8E" w:rsidP="00FB1D8E">
      <w:pPr>
        <w:pStyle w:val="Ttulo3"/>
      </w:pPr>
    </w:p>
    <w:p w:rsidR="00000052" w:rsidRDefault="00000052" w:rsidP="00000052">
      <w:pPr>
        <w:pStyle w:val="EST"/>
        <w:rPr>
          <w:u w:val="none"/>
        </w:rPr>
      </w:pPr>
      <w:r>
        <w:t>Estrategia 6.1.</w:t>
      </w:r>
      <w:r>
        <w:rPr>
          <w:u w:val="none"/>
        </w:rPr>
        <w:tab/>
        <w:t>Establecer mecanismos que permitan determinar el impacto de los programas y productos de la Institución.</w:t>
      </w:r>
    </w:p>
    <w:p w:rsidR="00000052" w:rsidRPr="00327E44" w:rsidRDefault="00000052" w:rsidP="00000052">
      <w:pPr>
        <w:pStyle w:val="LIN"/>
        <w:rPr>
          <w:u w:val="none"/>
        </w:rPr>
      </w:pPr>
      <w:r w:rsidRPr="00327E44">
        <w:t>Línea de acci</w:t>
      </w:r>
      <w:r>
        <w:t>ón 6.1</w:t>
      </w:r>
      <w:r w:rsidRPr="00327E44">
        <w:t>.1</w:t>
      </w:r>
      <w:r w:rsidRPr="00327E44">
        <w:rPr>
          <w:u w:val="none"/>
        </w:rPr>
        <w:t xml:space="preserve"> </w:t>
      </w:r>
      <w:r>
        <w:rPr>
          <w:u w:val="none"/>
        </w:rPr>
        <w:t>Determinar metodologías para la definición de políticas de tasas, plazos, riesgos de las operaciones y tipos de negocios.</w:t>
      </w:r>
    </w:p>
    <w:p w:rsidR="00000052" w:rsidRDefault="00000052" w:rsidP="00000052">
      <w:pPr>
        <w:pStyle w:val="LIN"/>
        <w:rPr>
          <w:u w:val="none"/>
        </w:rPr>
      </w:pPr>
      <w:r w:rsidRPr="00327E44">
        <w:t>Línea de acci</w:t>
      </w:r>
      <w:r>
        <w:t>ón 6.1.2</w:t>
      </w:r>
      <w:r w:rsidRPr="00327E44">
        <w:rPr>
          <w:u w:val="none"/>
        </w:rPr>
        <w:t xml:space="preserve"> </w:t>
      </w:r>
      <w:r>
        <w:rPr>
          <w:u w:val="none"/>
        </w:rPr>
        <w:t>Mantener y mejorar el cálculo de rentabilidad para cada una de las áreas de la Institución.</w:t>
      </w:r>
    </w:p>
    <w:p w:rsidR="00000052" w:rsidRPr="00327E44" w:rsidRDefault="00000052" w:rsidP="00000052">
      <w:pPr>
        <w:pStyle w:val="LIN"/>
      </w:pPr>
      <w:r w:rsidRPr="00327E44">
        <w:t>Línea de acci</w:t>
      </w:r>
      <w:r>
        <w:t>ón 6.1.3</w:t>
      </w:r>
      <w:r>
        <w:rPr>
          <w:u w:val="none"/>
        </w:rPr>
        <w:t xml:space="preserve"> Mantener y mejorar el sistema de planeación financiera y contabilidad de costos.</w:t>
      </w:r>
    </w:p>
    <w:p w:rsidR="00000052" w:rsidRDefault="00000052" w:rsidP="00000052">
      <w:pPr>
        <w:pStyle w:val="Ttulo3"/>
      </w:pPr>
    </w:p>
    <w:p w:rsidR="00000052" w:rsidRDefault="00000052" w:rsidP="00000052">
      <w:pPr>
        <w:pStyle w:val="Ttulo3"/>
        <w:tabs>
          <w:tab w:val="left" w:pos="1843"/>
        </w:tabs>
      </w:pPr>
      <w:r w:rsidRPr="00E93D53">
        <w:rPr>
          <w:u w:val="single"/>
        </w:rPr>
        <w:t>Estrategia 6</w:t>
      </w:r>
      <w:r>
        <w:rPr>
          <w:u w:val="single"/>
        </w:rPr>
        <w:t>.2</w:t>
      </w:r>
      <w:r w:rsidRPr="00E93D53">
        <w:rPr>
          <w:u w:val="single"/>
        </w:rPr>
        <w:t>.</w:t>
      </w:r>
      <w:r>
        <w:tab/>
        <w:t>Desarrollar las capacidades técnicas para la formulación de programas y productos a fin de determinar riesgos y mitigarlos.</w:t>
      </w:r>
    </w:p>
    <w:p w:rsidR="00000052" w:rsidRDefault="00000052" w:rsidP="00000052">
      <w:pPr>
        <w:rPr>
          <w:lang w:val="es-ES"/>
        </w:rPr>
      </w:pPr>
    </w:p>
    <w:p w:rsidR="00000052" w:rsidRPr="00327E44" w:rsidRDefault="00000052" w:rsidP="00000052">
      <w:pPr>
        <w:pStyle w:val="LIN"/>
        <w:rPr>
          <w:u w:val="none"/>
        </w:rPr>
      </w:pPr>
      <w:r w:rsidRPr="00327E44">
        <w:t>Línea de acci</w:t>
      </w:r>
      <w:r>
        <w:t>ón 6.2</w:t>
      </w:r>
      <w:r w:rsidRPr="00327E44">
        <w:t>.1</w:t>
      </w:r>
      <w:r w:rsidRPr="00327E44">
        <w:rPr>
          <w:u w:val="none"/>
        </w:rPr>
        <w:t xml:space="preserve"> </w:t>
      </w:r>
      <w:r>
        <w:rPr>
          <w:u w:val="none"/>
        </w:rPr>
        <w:t>Preparar recursos humanos de calidad y de alto nivel.</w:t>
      </w:r>
    </w:p>
    <w:p w:rsidR="00000052" w:rsidRDefault="00000052" w:rsidP="00000052">
      <w:pPr>
        <w:pStyle w:val="LIN"/>
        <w:rPr>
          <w:u w:val="none"/>
        </w:rPr>
      </w:pPr>
      <w:r w:rsidRPr="00327E44">
        <w:t>Línea de acci</w:t>
      </w:r>
      <w:r>
        <w:t>ón 6.2.2</w:t>
      </w:r>
      <w:r w:rsidRPr="00327E44">
        <w:rPr>
          <w:u w:val="none"/>
        </w:rPr>
        <w:t xml:space="preserve"> </w:t>
      </w:r>
      <w:r>
        <w:rPr>
          <w:u w:val="none"/>
        </w:rPr>
        <w:t>Generar información especializada para la toma de decisiones.</w:t>
      </w:r>
    </w:p>
    <w:p w:rsidR="00000052" w:rsidRDefault="00000052" w:rsidP="00000052">
      <w:pPr>
        <w:pStyle w:val="LIN"/>
        <w:rPr>
          <w:u w:val="none"/>
        </w:rPr>
      </w:pPr>
      <w:r w:rsidRPr="00327E44">
        <w:t>Línea de acci</w:t>
      </w:r>
      <w:r>
        <w:t>ón 6.2.3</w:t>
      </w:r>
      <w:r>
        <w:rPr>
          <w:u w:val="none"/>
        </w:rPr>
        <w:t xml:space="preserve"> Establecer sistemas de evaluación bajo el esquema “una meta, un responsable”.</w:t>
      </w:r>
    </w:p>
    <w:p w:rsidR="00000052" w:rsidRPr="00327E44" w:rsidRDefault="00000052" w:rsidP="00000052"/>
    <w:p w:rsidR="00000052" w:rsidRDefault="00000052" w:rsidP="00000052">
      <w:pPr>
        <w:pStyle w:val="Ttulo3"/>
        <w:tabs>
          <w:tab w:val="left" w:pos="1843"/>
        </w:tabs>
      </w:pPr>
      <w:r w:rsidRPr="00E93D53">
        <w:rPr>
          <w:u w:val="single"/>
        </w:rPr>
        <w:t>Estrategia 6</w:t>
      </w:r>
      <w:r>
        <w:rPr>
          <w:u w:val="single"/>
        </w:rPr>
        <w:t>.3</w:t>
      </w:r>
      <w:r>
        <w:tab/>
        <w:t>Establecer el apetito de riesgo de la Institución.</w:t>
      </w:r>
    </w:p>
    <w:p w:rsidR="00000052" w:rsidRPr="00432FFE" w:rsidRDefault="00000052" w:rsidP="00000052"/>
    <w:p w:rsidR="00000052" w:rsidRPr="00327E44" w:rsidRDefault="00000052" w:rsidP="00000052">
      <w:pPr>
        <w:pStyle w:val="LIN"/>
        <w:rPr>
          <w:u w:val="none"/>
        </w:rPr>
      </w:pPr>
      <w:r w:rsidRPr="00327E44">
        <w:t>Línea de acci</w:t>
      </w:r>
      <w:r>
        <w:t>ón 6.3</w:t>
      </w:r>
      <w:r w:rsidRPr="00327E44">
        <w:t>.1</w:t>
      </w:r>
      <w:r w:rsidRPr="00327E44">
        <w:rPr>
          <w:u w:val="none"/>
        </w:rPr>
        <w:t xml:space="preserve"> </w:t>
      </w:r>
      <w:r>
        <w:rPr>
          <w:u w:val="none"/>
        </w:rPr>
        <w:t>Establecer límites de tolerancia al riesgo, conforme a las prácticas en la materia.</w:t>
      </w:r>
    </w:p>
    <w:p w:rsidR="00000052" w:rsidRDefault="00000052" w:rsidP="00000052">
      <w:pPr>
        <w:pStyle w:val="LIN"/>
        <w:rPr>
          <w:u w:val="none"/>
        </w:rPr>
      </w:pPr>
      <w:r w:rsidRPr="00327E44">
        <w:t>Línea de acci</w:t>
      </w:r>
      <w:r>
        <w:t>ón 6.3.2</w:t>
      </w:r>
      <w:r w:rsidRPr="00327E44">
        <w:rPr>
          <w:u w:val="none"/>
        </w:rPr>
        <w:t xml:space="preserve"> </w:t>
      </w:r>
      <w:r>
        <w:rPr>
          <w:u w:val="none"/>
        </w:rPr>
        <w:t>Comunicar a las áreas de la Institución los objetivos en riesgo-rentabilidad.</w:t>
      </w:r>
    </w:p>
    <w:p w:rsidR="00000052" w:rsidRDefault="00000052" w:rsidP="00000052">
      <w:pPr>
        <w:pStyle w:val="LIN"/>
        <w:rPr>
          <w:u w:val="none"/>
        </w:rPr>
      </w:pPr>
      <w:r w:rsidRPr="00327E44">
        <w:t>Línea de acci</w:t>
      </w:r>
      <w:r>
        <w:t>ón 6.3.3</w:t>
      </w:r>
      <w:r>
        <w:rPr>
          <w:u w:val="none"/>
        </w:rPr>
        <w:t xml:space="preserve"> Revisar constantemente que los límites no sean rebasados.</w:t>
      </w:r>
    </w:p>
    <w:p w:rsidR="00000052" w:rsidRDefault="00000052" w:rsidP="00000052">
      <w:pPr>
        <w:pStyle w:val="LIN"/>
        <w:rPr>
          <w:u w:val="none"/>
        </w:rPr>
      </w:pPr>
      <w:r w:rsidRPr="00327E44">
        <w:t>Línea de acci</w:t>
      </w:r>
      <w:r>
        <w:t>ón 6.3.4</w:t>
      </w:r>
      <w:r>
        <w:rPr>
          <w:u w:val="none"/>
        </w:rPr>
        <w:t xml:space="preserve"> Actualizar en forma anual el documento que contenga la estrategia de apetito de riesgo institucional.</w:t>
      </w:r>
    </w:p>
    <w:p w:rsidR="00000052" w:rsidRPr="00B353DE" w:rsidRDefault="00000052" w:rsidP="00000052"/>
    <w:p w:rsidR="00000052" w:rsidRPr="009A01F0" w:rsidRDefault="00000052" w:rsidP="00000052">
      <w:pPr>
        <w:pStyle w:val="Ttulo1"/>
      </w:pPr>
      <w:bookmarkStart w:id="10" w:name="_Toc259122272"/>
      <w:bookmarkStart w:id="11" w:name="_Toc386131528"/>
      <w:bookmarkStart w:id="12" w:name="_Toc259880918"/>
      <w:r w:rsidRPr="009A01F0">
        <w:t>Indicadores</w:t>
      </w:r>
      <w:bookmarkEnd w:id="10"/>
      <w:r>
        <w:t>.</w:t>
      </w:r>
      <w:bookmarkEnd w:id="11"/>
      <w:bookmarkEnd w:id="12"/>
    </w:p>
    <w:p w:rsidR="00000052" w:rsidRPr="00C21A75" w:rsidRDefault="00000052" w:rsidP="00000052">
      <w:pPr>
        <w:rPr>
          <w:lang w:val="es-ES"/>
        </w:rPr>
      </w:pPr>
    </w:p>
    <w:p w:rsidR="00000052" w:rsidRPr="00C21A75" w:rsidRDefault="00000052" w:rsidP="00000052">
      <w:r w:rsidRPr="00C21A75">
        <w:t xml:space="preserve">En este capítulo se presentan tanto los indicadores como las metas mediante las cuales se dará seguimiento al cumplimiento de los objetivos planteados </w:t>
      </w:r>
      <w:r>
        <w:t>por</w:t>
      </w:r>
      <w:r w:rsidRPr="00C21A75">
        <w:t xml:space="preserve"> la Institución. Con ello, además de dar cumplimiento a lo establecido en el PND y el PRONAFIDE, se cumple con lo señalado en el artículo 48 de la Ley Federal de las Entidades Paraestatales.</w:t>
      </w:r>
    </w:p>
    <w:p w:rsidR="00000052" w:rsidRPr="00B47F47" w:rsidRDefault="00000052" w:rsidP="00000052"/>
    <w:p w:rsidR="00000052" w:rsidRDefault="00000052" w:rsidP="00000052">
      <w:pPr>
        <w:ind w:left="425" w:firstLine="0"/>
        <w:rPr>
          <w:b/>
        </w:rPr>
      </w:pPr>
      <w:r w:rsidRPr="00336FEF">
        <w:rPr>
          <w:b/>
        </w:rPr>
        <w:t>Objetivo 1.</w:t>
      </w:r>
      <w:r>
        <w:rPr>
          <w:b/>
        </w:rPr>
        <w:t xml:space="preserve"> </w:t>
      </w:r>
      <w:r w:rsidRPr="0043710C">
        <w:rPr>
          <w:b/>
        </w:rPr>
        <w:t>Incrementar el saldo de financiamiento, mejorando las condiciones</w:t>
      </w:r>
      <w:r>
        <w:rPr>
          <w:b/>
        </w:rPr>
        <w:t xml:space="preserve"> a los sectores de atención en </w:t>
      </w:r>
      <w:r w:rsidRPr="0043710C">
        <w:rPr>
          <w:b/>
        </w:rPr>
        <w:t>primer piso, segundo piso e inducido</w:t>
      </w:r>
      <w:r>
        <w:rPr>
          <w:b/>
        </w:rPr>
        <w:t>.</w:t>
      </w:r>
    </w:p>
    <w:p w:rsidR="00000052" w:rsidRPr="00E87D2B" w:rsidRDefault="00000052" w:rsidP="00000052">
      <w:pPr>
        <w:rPr>
          <w:b/>
        </w:rPr>
      </w:pPr>
    </w:p>
    <w:tbl>
      <w:tblPr>
        <w:tblW w:w="8034" w:type="dxa"/>
        <w:tblInd w:w="534" w:type="dxa"/>
        <w:tblLayout w:type="fixed"/>
        <w:tblLook w:val="04A0" w:firstRow="1" w:lastRow="0" w:firstColumn="1" w:lastColumn="0" w:noHBand="0" w:noVBand="1"/>
      </w:tblPr>
      <w:tblGrid>
        <w:gridCol w:w="2126"/>
        <w:gridCol w:w="1984"/>
        <w:gridCol w:w="3924"/>
      </w:tblGrid>
      <w:tr w:rsidR="00000052" w:rsidRPr="003141BE" w:rsidTr="00000052">
        <w:trPr>
          <w:cantSplit/>
          <w:trHeight w:val="206"/>
        </w:trPr>
        <w:tc>
          <w:tcPr>
            <w:tcW w:w="2126" w:type="dxa"/>
            <w:tcBorders>
              <w:top w:val="single" w:sz="6" w:space="0" w:color="000000"/>
              <w:left w:val="single" w:sz="6" w:space="0" w:color="000000"/>
              <w:bottom w:val="single" w:sz="6" w:space="0" w:color="000000"/>
              <w:right w:val="single" w:sz="6" w:space="0" w:color="000000"/>
            </w:tcBorders>
            <w:shd w:val="clear" w:color="auto" w:fill="D6E3BC"/>
            <w:hideMark/>
          </w:tcPr>
          <w:p w:rsidR="00000052" w:rsidRPr="00C21A75" w:rsidRDefault="00000052" w:rsidP="00000052">
            <w:pPr>
              <w:pStyle w:val="Texto"/>
              <w:ind w:firstLine="0"/>
              <w:jc w:val="left"/>
              <w:rPr>
                <w:b/>
              </w:rPr>
            </w:pPr>
            <w:r w:rsidRPr="00C21A75">
              <w:rPr>
                <w:b/>
              </w:rPr>
              <w:t>Indicador</w:t>
            </w:r>
          </w:p>
        </w:tc>
        <w:tc>
          <w:tcPr>
            <w:tcW w:w="5908" w:type="dxa"/>
            <w:gridSpan w:val="2"/>
            <w:tcBorders>
              <w:top w:val="single" w:sz="6" w:space="0" w:color="000000"/>
              <w:left w:val="single" w:sz="6" w:space="0" w:color="000000"/>
              <w:bottom w:val="single" w:sz="6" w:space="0" w:color="000000"/>
              <w:right w:val="single" w:sz="6" w:space="0" w:color="000000"/>
            </w:tcBorders>
          </w:tcPr>
          <w:p w:rsidR="00000052" w:rsidRPr="00C21A75" w:rsidRDefault="00000052" w:rsidP="00000052">
            <w:pPr>
              <w:pStyle w:val="Texto"/>
              <w:ind w:firstLine="0"/>
              <w:rPr>
                <w:szCs w:val="18"/>
              </w:rPr>
            </w:pPr>
            <w:r w:rsidRPr="00C21A75">
              <w:rPr>
                <w:szCs w:val="18"/>
              </w:rPr>
              <w:t>Saldo de cartera al cierre de cada ejercicio.</w:t>
            </w:r>
          </w:p>
        </w:tc>
      </w:tr>
      <w:tr w:rsidR="00000052" w:rsidRPr="003141BE" w:rsidTr="00000052">
        <w:trPr>
          <w:cantSplit/>
          <w:trHeight w:val="124"/>
        </w:trPr>
        <w:tc>
          <w:tcPr>
            <w:tcW w:w="2126" w:type="dxa"/>
            <w:tcBorders>
              <w:top w:val="single" w:sz="6" w:space="0" w:color="000000"/>
              <w:left w:val="single" w:sz="6" w:space="0" w:color="000000"/>
              <w:bottom w:val="single" w:sz="6" w:space="0" w:color="000000"/>
              <w:right w:val="single" w:sz="6" w:space="0" w:color="000000"/>
            </w:tcBorders>
            <w:shd w:val="clear" w:color="auto" w:fill="D6E3BC"/>
            <w:hideMark/>
          </w:tcPr>
          <w:p w:rsidR="00000052" w:rsidRPr="00C21A75" w:rsidRDefault="00000052" w:rsidP="00000052">
            <w:pPr>
              <w:pStyle w:val="Texto"/>
              <w:ind w:firstLine="0"/>
              <w:jc w:val="left"/>
              <w:rPr>
                <w:b/>
              </w:rPr>
            </w:pPr>
            <w:r w:rsidRPr="00C21A75">
              <w:rPr>
                <w:b/>
              </w:rPr>
              <w:t>Descripción general</w:t>
            </w:r>
          </w:p>
        </w:tc>
        <w:tc>
          <w:tcPr>
            <w:tcW w:w="5908" w:type="dxa"/>
            <w:gridSpan w:val="2"/>
            <w:tcBorders>
              <w:top w:val="single" w:sz="6" w:space="0" w:color="000000"/>
              <w:left w:val="single" w:sz="6" w:space="0" w:color="000000"/>
              <w:bottom w:val="single" w:sz="6" w:space="0" w:color="000000"/>
              <w:right w:val="single" w:sz="6" w:space="0" w:color="000000"/>
            </w:tcBorders>
            <w:hideMark/>
          </w:tcPr>
          <w:p w:rsidR="00000052" w:rsidRPr="00C21A75" w:rsidRDefault="00000052" w:rsidP="00000052">
            <w:pPr>
              <w:pStyle w:val="Texto"/>
              <w:ind w:firstLine="0"/>
              <w:rPr>
                <w:szCs w:val="18"/>
              </w:rPr>
            </w:pPr>
            <w:r w:rsidRPr="00C21A75">
              <w:rPr>
                <w:szCs w:val="18"/>
              </w:rPr>
              <w:t>Monto del financiamiento otorgado a los acreditados al cierre de cada ejercicio, medido en millones de pesos.</w:t>
            </w:r>
          </w:p>
        </w:tc>
      </w:tr>
      <w:tr w:rsidR="00000052" w:rsidRPr="003141BE" w:rsidTr="00000052">
        <w:trPr>
          <w:cantSplit/>
          <w:trHeight w:val="183"/>
        </w:trPr>
        <w:tc>
          <w:tcPr>
            <w:tcW w:w="2126" w:type="dxa"/>
            <w:tcBorders>
              <w:top w:val="single" w:sz="6" w:space="0" w:color="000000"/>
              <w:left w:val="single" w:sz="6" w:space="0" w:color="000000"/>
              <w:bottom w:val="single" w:sz="6" w:space="0" w:color="000000"/>
              <w:right w:val="single" w:sz="6" w:space="0" w:color="000000"/>
            </w:tcBorders>
            <w:shd w:val="clear" w:color="auto" w:fill="D6E3BC"/>
            <w:hideMark/>
          </w:tcPr>
          <w:p w:rsidR="00000052" w:rsidRPr="00C21A75" w:rsidRDefault="00000052" w:rsidP="00000052">
            <w:pPr>
              <w:pStyle w:val="Texto"/>
              <w:ind w:firstLine="0"/>
              <w:jc w:val="left"/>
              <w:rPr>
                <w:b/>
              </w:rPr>
            </w:pPr>
            <w:r w:rsidRPr="00C21A75">
              <w:rPr>
                <w:b/>
              </w:rPr>
              <w:t>Observaciones</w:t>
            </w:r>
          </w:p>
        </w:tc>
        <w:tc>
          <w:tcPr>
            <w:tcW w:w="5908" w:type="dxa"/>
            <w:gridSpan w:val="2"/>
            <w:tcBorders>
              <w:top w:val="single" w:sz="6" w:space="0" w:color="000000"/>
              <w:left w:val="single" w:sz="6" w:space="0" w:color="000000"/>
              <w:bottom w:val="single" w:sz="6" w:space="0" w:color="000000"/>
              <w:right w:val="single" w:sz="6" w:space="0" w:color="000000"/>
            </w:tcBorders>
            <w:hideMark/>
          </w:tcPr>
          <w:p w:rsidR="00000052" w:rsidRPr="00C21A75" w:rsidRDefault="00000052" w:rsidP="00000052">
            <w:pPr>
              <w:pStyle w:val="Texto"/>
              <w:ind w:firstLine="0"/>
              <w:rPr>
                <w:szCs w:val="18"/>
              </w:rPr>
            </w:pPr>
            <w:r w:rsidRPr="00C21A75">
              <w:rPr>
                <w:szCs w:val="18"/>
              </w:rPr>
              <w:t>Monto total del saldo de la cartera administrada de crédito al cierre del ejercicio, considerando tanto cartera vigente como vencida.</w:t>
            </w:r>
          </w:p>
        </w:tc>
      </w:tr>
      <w:tr w:rsidR="00000052" w:rsidRPr="003141BE" w:rsidTr="00000052">
        <w:trPr>
          <w:cantSplit/>
          <w:trHeight w:val="116"/>
        </w:trPr>
        <w:tc>
          <w:tcPr>
            <w:tcW w:w="2126" w:type="dxa"/>
            <w:tcBorders>
              <w:top w:val="single" w:sz="6" w:space="0" w:color="000000"/>
              <w:left w:val="single" w:sz="6" w:space="0" w:color="000000"/>
              <w:bottom w:val="single" w:sz="6" w:space="0" w:color="000000"/>
              <w:right w:val="single" w:sz="6" w:space="0" w:color="000000"/>
            </w:tcBorders>
            <w:shd w:val="clear" w:color="auto" w:fill="D6E3BC"/>
            <w:hideMark/>
          </w:tcPr>
          <w:p w:rsidR="00000052" w:rsidRPr="003471FC" w:rsidRDefault="00000052" w:rsidP="00000052">
            <w:pPr>
              <w:pStyle w:val="Texto"/>
              <w:ind w:firstLine="0"/>
              <w:jc w:val="left"/>
            </w:pPr>
            <w:r w:rsidRPr="00C21A75">
              <w:rPr>
                <w:b/>
              </w:rPr>
              <w:t>Periodicidad</w:t>
            </w:r>
          </w:p>
        </w:tc>
        <w:tc>
          <w:tcPr>
            <w:tcW w:w="5908" w:type="dxa"/>
            <w:gridSpan w:val="2"/>
            <w:tcBorders>
              <w:top w:val="single" w:sz="6" w:space="0" w:color="000000"/>
              <w:left w:val="single" w:sz="6" w:space="0" w:color="000000"/>
              <w:bottom w:val="single" w:sz="6" w:space="0" w:color="000000"/>
              <w:right w:val="single" w:sz="6" w:space="0" w:color="000000"/>
            </w:tcBorders>
            <w:hideMark/>
          </w:tcPr>
          <w:p w:rsidR="00000052" w:rsidRPr="00C21A75" w:rsidRDefault="00000052" w:rsidP="00000052">
            <w:pPr>
              <w:pStyle w:val="Texto"/>
              <w:ind w:firstLine="0"/>
              <w:rPr>
                <w:szCs w:val="18"/>
              </w:rPr>
            </w:pPr>
            <w:r w:rsidRPr="00C21A75">
              <w:rPr>
                <w:szCs w:val="18"/>
              </w:rPr>
              <w:t>Anual.</w:t>
            </w:r>
          </w:p>
        </w:tc>
      </w:tr>
      <w:tr w:rsidR="00000052" w:rsidRPr="003141BE" w:rsidTr="00000052">
        <w:trPr>
          <w:cantSplit/>
          <w:trHeight w:val="176"/>
        </w:trPr>
        <w:tc>
          <w:tcPr>
            <w:tcW w:w="2126" w:type="dxa"/>
            <w:tcBorders>
              <w:top w:val="single" w:sz="6" w:space="0" w:color="000000"/>
              <w:left w:val="single" w:sz="6" w:space="0" w:color="000000"/>
              <w:bottom w:val="single" w:sz="6" w:space="0" w:color="000000"/>
              <w:right w:val="single" w:sz="6" w:space="0" w:color="000000"/>
            </w:tcBorders>
            <w:shd w:val="clear" w:color="auto" w:fill="D6E3BC"/>
            <w:hideMark/>
          </w:tcPr>
          <w:p w:rsidR="00000052" w:rsidRPr="003471FC" w:rsidRDefault="00000052" w:rsidP="00000052">
            <w:pPr>
              <w:pStyle w:val="Texto"/>
              <w:ind w:firstLine="0"/>
              <w:jc w:val="left"/>
            </w:pPr>
            <w:r w:rsidRPr="00C21A75">
              <w:rPr>
                <w:b/>
              </w:rPr>
              <w:lastRenderedPageBreak/>
              <w:t>Fuente</w:t>
            </w:r>
          </w:p>
        </w:tc>
        <w:tc>
          <w:tcPr>
            <w:tcW w:w="5908" w:type="dxa"/>
            <w:gridSpan w:val="2"/>
            <w:tcBorders>
              <w:top w:val="single" w:sz="6" w:space="0" w:color="000000"/>
              <w:left w:val="single" w:sz="6" w:space="0" w:color="000000"/>
              <w:bottom w:val="single" w:sz="6" w:space="0" w:color="000000"/>
              <w:right w:val="single" w:sz="6" w:space="0" w:color="000000"/>
            </w:tcBorders>
          </w:tcPr>
          <w:p w:rsidR="00000052" w:rsidRPr="00C21A75" w:rsidRDefault="00000052" w:rsidP="00000052">
            <w:pPr>
              <w:pStyle w:val="Texto"/>
              <w:ind w:firstLine="0"/>
              <w:rPr>
                <w:szCs w:val="18"/>
              </w:rPr>
            </w:pPr>
            <w:r w:rsidRPr="00B47F47">
              <w:rPr>
                <w:szCs w:val="18"/>
              </w:rPr>
              <w:t>Financiera Nacional de Desarrollo Agropecuario, Rural, Forestal y Pesquero.</w:t>
            </w:r>
          </w:p>
        </w:tc>
      </w:tr>
      <w:tr w:rsidR="00000052" w:rsidRPr="003141BE" w:rsidTr="00000052">
        <w:trPr>
          <w:cantSplit/>
          <w:trHeight w:val="176"/>
        </w:trPr>
        <w:tc>
          <w:tcPr>
            <w:tcW w:w="2126" w:type="dxa"/>
            <w:tcBorders>
              <w:top w:val="single" w:sz="6" w:space="0" w:color="000000"/>
              <w:left w:val="single" w:sz="6" w:space="0" w:color="000000"/>
              <w:bottom w:val="single" w:sz="6" w:space="0" w:color="000000"/>
              <w:right w:val="single" w:sz="6" w:space="0" w:color="000000"/>
            </w:tcBorders>
            <w:shd w:val="clear" w:color="auto" w:fill="D6E3BC"/>
            <w:hideMark/>
          </w:tcPr>
          <w:p w:rsidR="00000052" w:rsidRPr="003471FC" w:rsidRDefault="00000052" w:rsidP="00000052">
            <w:pPr>
              <w:pStyle w:val="Texto"/>
              <w:ind w:firstLine="0"/>
              <w:jc w:val="left"/>
            </w:pPr>
            <w:r w:rsidRPr="00C21A75">
              <w:rPr>
                <w:b/>
              </w:rPr>
              <w:t>Referencias adicionales</w:t>
            </w:r>
          </w:p>
        </w:tc>
        <w:tc>
          <w:tcPr>
            <w:tcW w:w="5908" w:type="dxa"/>
            <w:gridSpan w:val="2"/>
            <w:tcBorders>
              <w:top w:val="single" w:sz="6" w:space="0" w:color="000000"/>
              <w:left w:val="single" w:sz="6" w:space="0" w:color="000000"/>
              <w:bottom w:val="single" w:sz="6" w:space="0" w:color="000000"/>
              <w:right w:val="single" w:sz="6" w:space="0" w:color="000000"/>
            </w:tcBorders>
          </w:tcPr>
          <w:p w:rsidR="00000052" w:rsidRPr="00C21A75" w:rsidRDefault="00000052" w:rsidP="00000052">
            <w:pPr>
              <w:pStyle w:val="Texto"/>
              <w:ind w:firstLine="0"/>
              <w:rPr>
                <w:szCs w:val="18"/>
              </w:rPr>
            </w:pPr>
            <w:r>
              <w:rPr>
                <w:szCs w:val="18"/>
              </w:rPr>
              <w:t>Financiera Nacional de Desarrollo Agropecuario, Rural, Forestal y Pesquero.</w:t>
            </w:r>
          </w:p>
        </w:tc>
      </w:tr>
      <w:tr w:rsidR="00000052" w:rsidRPr="003141BE" w:rsidTr="00000052">
        <w:trPr>
          <w:cantSplit/>
          <w:trHeight w:val="108"/>
        </w:trPr>
        <w:tc>
          <w:tcPr>
            <w:tcW w:w="4110" w:type="dxa"/>
            <w:gridSpan w:val="2"/>
            <w:tcBorders>
              <w:top w:val="single" w:sz="6" w:space="0" w:color="000000"/>
              <w:left w:val="single" w:sz="6" w:space="0" w:color="000000"/>
              <w:bottom w:val="single" w:sz="6" w:space="0" w:color="000000"/>
              <w:right w:val="single" w:sz="6" w:space="0" w:color="000000"/>
            </w:tcBorders>
            <w:shd w:val="clear" w:color="auto" w:fill="D6E3BC"/>
            <w:hideMark/>
          </w:tcPr>
          <w:p w:rsidR="00000052" w:rsidRPr="00C21A75" w:rsidRDefault="00000052" w:rsidP="00000052">
            <w:pPr>
              <w:pStyle w:val="Texto"/>
              <w:ind w:firstLine="0"/>
              <w:jc w:val="center"/>
              <w:rPr>
                <w:b/>
              </w:rPr>
            </w:pPr>
            <w:r w:rsidRPr="00C21A75">
              <w:rPr>
                <w:b/>
              </w:rPr>
              <w:t>Línea base 2013</w:t>
            </w:r>
          </w:p>
        </w:tc>
        <w:tc>
          <w:tcPr>
            <w:tcW w:w="3924" w:type="dxa"/>
            <w:tcBorders>
              <w:top w:val="single" w:sz="6" w:space="0" w:color="000000"/>
              <w:left w:val="single" w:sz="6" w:space="0" w:color="000000"/>
              <w:bottom w:val="single" w:sz="6" w:space="0" w:color="000000"/>
              <w:right w:val="single" w:sz="6" w:space="0" w:color="000000"/>
            </w:tcBorders>
            <w:shd w:val="clear" w:color="auto" w:fill="D6E3BC"/>
            <w:hideMark/>
          </w:tcPr>
          <w:p w:rsidR="00000052" w:rsidRPr="00C21A75" w:rsidRDefault="00000052" w:rsidP="00000052">
            <w:pPr>
              <w:pStyle w:val="Texto"/>
              <w:ind w:firstLine="0"/>
              <w:jc w:val="center"/>
              <w:rPr>
                <w:b/>
              </w:rPr>
            </w:pPr>
            <w:r w:rsidRPr="00C21A75">
              <w:rPr>
                <w:b/>
              </w:rPr>
              <w:t>Meta 2018</w:t>
            </w:r>
          </w:p>
        </w:tc>
      </w:tr>
      <w:tr w:rsidR="00000052" w:rsidRPr="003141BE" w:rsidTr="00000052">
        <w:trPr>
          <w:cantSplit/>
          <w:trHeight w:val="182"/>
        </w:trPr>
        <w:tc>
          <w:tcPr>
            <w:tcW w:w="4110" w:type="dxa"/>
            <w:gridSpan w:val="2"/>
            <w:tcBorders>
              <w:top w:val="single" w:sz="6" w:space="0" w:color="000000"/>
              <w:left w:val="single" w:sz="6" w:space="0" w:color="000000"/>
              <w:bottom w:val="single" w:sz="6" w:space="0" w:color="000000"/>
              <w:right w:val="single" w:sz="6" w:space="0" w:color="000000"/>
            </w:tcBorders>
          </w:tcPr>
          <w:p w:rsidR="00000052" w:rsidRPr="00C21A75" w:rsidRDefault="00000052" w:rsidP="00000052">
            <w:pPr>
              <w:ind w:firstLine="0"/>
              <w:jc w:val="center"/>
            </w:pPr>
            <w:r w:rsidRPr="00C21A75">
              <w:t>$26,421 millones de pesos</w:t>
            </w:r>
          </w:p>
        </w:tc>
        <w:tc>
          <w:tcPr>
            <w:tcW w:w="3924" w:type="dxa"/>
            <w:tcBorders>
              <w:top w:val="single" w:sz="6" w:space="0" w:color="000000"/>
              <w:left w:val="single" w:sz="6" w:space="0" w:color="000000"/>
              <w:bottom w:val="single" w:sz="6" w:space="0" w:color="000000"/>
              <w:right w:val="single" w:sz="6" w:space="0" w:color="000000"/>
            </w:tcBorders>
          </w:tcPr>
          <w:p w:rsidR="00000052" w:rsidRPr="00C21A75" w:rsidRDefault="00000052" w:rsidP="00000052">
            <w:pPr>
              <w:ind w:firstLine="0"/>
              <w:jc w:val="center"/>
            </w:pPr>
            <w:r w:rsidRPr="00C21A75">
              <w:t>$</w:t>
            </w:r>
            <w:r>
              <w:t>50,000</w:t>
            </w:r>
            <w:r w:rsidRPr="00C21A75">
              <w:t xml:space="preserve"> millones de pesos</w:t>
            </w:r>
          </w:p>
        </w:tc>
      </w:tr>
    </w:tbl>
    <w:p w:rsidR="00000052" w:rsidRPr="00E87D2B" w:rsidRDefault="00000052" w:rsidP="00000052">
      <w:pPr>
        <w:rPr>
          <w:b/>
        </w:rPr>
      </w:pPr>
    </w:p>
    <w:p w:rsidR="00000052" w:rsidRPr="00E87D2B" w:rsidRDefault="00000052" w:rsidP="00000052">
      <w:pPr>
        <w:rPr>
          <w:b/>
        </w:rPr>
      </w:pPr>
    </w:p>
    <w:tbl>
      <w:tblPr>
        <w:tblW w:w="8034" w:type="dxa"/>
        <w:tblInd w:w="534" w:type="dxa"/>
        <w:tblLayout w:type="fixed"/>
        <w:tblLook w:val="04A0" w:firstRow="1" w:lastRow="0" w:firstColumn="1" w:lastColumn="0" w:noHBand="0" w:noVBand="1"/>
      </w:tblPr>
      <w:tblGrid>
        <w:gridCol w:w="2126"/>
        <w:gridCol w:w="1984"/>
        <w:gridCol w:w="3924"/>
      </w:tblGrid>
      <w:tr w:rsidR="00000052" w:rsidRPr="003141BE" w:rsidTr="00000052">
        <w:trPr>
          <w:cantSplit/>
          <w:trHeight w:val="206"/>
        </w:trPr>
        <w:tc>
          <w:tcPr>
            <w:tcW w:w="2126" w:type="dxa"/>
            <w:tcBorders>
              <w:top w:val="single" w:sz="6" w:space="0" w:color="000000"/>
              <w:left w:val="single" w:sz="6" w:space="0" w:color="000000"/>
              <w:bottom w:val="single" w:sz="6" w:space="0" w:color="000000"/>
              <w:right w:val="single" w:sz="6" w:space="0" w:color="000000"/>
            </w:tcBorders>
            <w:shd w:val="clear" w:color="auto" w:fill="D6E3BC"/>
            <w:hideMark/>
          </w:tcPr>
          <w:p w:rsidR="00000052" w:rsidRPr="00C21A75" w:rsidRDefault="00000052" w:rsidP="00000052">
            <w:pPr>
              <w:pStyle w:val="Texto"/>
              <w:ind w:firstLine="0"/>
              <w:jc w:val="left"/>
              <w:rPr>
                <w:b/>
              </w:rPr>
            </w:pPr>
            <w:r w:rsidRPr="00C21A75">
              <w:rPr>
                <w:b/>
              </w:rPr>
              <w:t>Indicador</w:t>
            </w:r>
          </w:p>
        </w:tc>
        <w:tc>
          <w:tcPr>
            <w:tcW w:w="5908" w:type="dxa"/>
            <w:gridSpan w:val="2"/>
            <w:tcBorders>
              <w:top w:val="single" w:sz="6" w:space="0" w:color="000000"/>
              <w:left w:val="single" w:sz="6" w:space="0" w:color="000000"/>
              <w:bottom w:val="single" w:sz="6" w:space="0" w:color="000000"/>
              <w:right w:val="single" w:sz="6" w:space="0" w:color="000000"/>
            </w:tcBorders>
          </w:tcPr>
          <w:p w:rsidR="00000052" w:rsidRPr="00C21A75" w:rsidRDefault="00000052" w:rsidP="00000052">
            <w:pPr>
              <w:pStyle w:val="Texto"/>
              <w:ind w:firstLine="0"/>
            </w:pPr>
            <w:r w:rsidRPr="00C21A75">
              <w:t>Oportunidad en la atención a los clientes.</w:t>
            </w:r>
          </w:p>
        </w:tc>
      </w:tr>
      <w:tr w:rsidR="00000052" w:rsidRPr="003141BE" w:rsidTr="00000052">
        <w:trPr>
          <w:cantSplit/>
          <w:trHeight w:val="124"/>
        </w:trPr>
        <w:tc>
          <w:tcPr>
            <w:tcW w:w="2126" w:type="dxa"/>
            <w:tcBorders>
              <w:top w:val="single" w:sz="6" w:space="0" w:color="000000"/>
              <w:left w:val="single" w:sz="6" w:space="0" w:color="000000"/>
              <w:bottom w:val="single" w:sz="6" w:space="0" w:color="000000"/>
              <w:right w:val="single" w:sz="6" w:space="0" w:color="000000"/>
            </w:tcBorders>
            <w:shd w:val="clear" w:color="auto" w:fill="D6E3BC"/>
            <w:hideMark/>
          </w:tcPr>
          <w:p w:rsidR="00000052" w:rsidRPr="003471FC" w:rsidRDefault="00000052" w:rsidP="00000052">
            <w:pPr>
              <w:pStyle w:val="Texto"/>
              <w:ind w:firstLine="0"/>
              <w:jc w:val="left"/>
            </w:pPr>
            <w:r w:rsidRPr="00C21A75">
              <w:rPr>
                <w:b/>
              </w:rPr>
              <w:t>Descripción general</w:t>
            </w:r>
          </w:p>
        </w:tc>
        <w:tc>
          <w:tcPr>
            <w:tcW w:w="5908" w:type="dxa"/>
            <w:gridSpan w:val="2"/>
            <w:tcBorders>
              <w:top w:val="single" w:sz="6" w:space="0" w:color="000000"/>
              <w:left w:val="single" w:sz="6" w:space="0" w:color="000000"/>
              <w:bottom w:val="single" w:sz="6" w:space="0" w:color="000000"/>
              <w:right w:val="single" w:sz="6" w:space="0" w:color="000000"/>
            </w:tcBorders>
            <w:hideMark/>
          </w:tcPr>
          <w:p w:rsidR="00000052" w:rsidRPr="00C21A75" w:rsidRDefault="00000052" w:rsidP="00000052">
            <w:pPr>
              <w:pStyle w:val="Texto"/>
              <w:ind w:firstLine="0"/>
              <w:rPr>
                <w:highlight w:val="yellow"/>
              </w:rPr>
            </w:pPr>
            <w:r w:rsidRPr="00AE7527">
              <w:t>Índice de tiempo</w:t>
            </w:r>
            <w:r>
              <w:t xml:space="preserve">, con base en días hábiles, </w:t>
            </w:r>
            <w:r w:rsidRPr="00AE7527">
              <w:t xml:space="preserve">que transcurre desde que se acepta una solicitud de crédito, hasta su primera dispersión por la Institución, medido en </w:t>
            </w:r>
            <w:r w:rsidRPr="006356E0">
              <w:t>porcentaje.</w:t>
            </w:r>
          </w:p>
        </w:tc>
      </w:tr>
      <w:tr w:rsidR="00000052" w:rsidRPr="003141BE" w:rsidTr="00000052">
        <w:trPr>
          <w:cantSplit/>
          <w:trHeight w:val="183"/>
        </w:trPr>
        <w:tc>
          <w:tcPr>
            <w:tcW w:w="2126" w:type="dxa"/>
            <w:tcBorders>
              <w:top w:val="single" w:sz="6" w:space="0" w:color="000000"/>
              <w:left w:val="single" w:sz="6" w:space="0" w:color="000000"/>
              <w:bottom w:val="single" w:sz="6" w:space="0" w:color="000000"/>
              <w:right w:val="single" w:sz="6" w:space="0" w:color="000000"/>
            </w:tcBorders>
            <w:shd w:val="clear" w:color="auto" w:fill="D6E3BC"/>
            <w:hideMark/>
          </w:tcPr>
          <w:p w:rsidR="00000052" w:rsidRPr="00C21A75" w:rsidRDefault="00000052" w:rsidP="00000052">
            <w:pPr>
              <w:pStyle w:val="Texto"/>
              <w:ind w:firstLine="0"/>
              <w:jc w:val="left"/>
              <w:rPr>
                <w:b/>
              </w:rPr>
            </w:pPr>
            <w:r w:rsidRPr="00C21A75">
              <w:rPr>
                <w:b/>
              </w:rPr>
              <w:t>Observaciones</w:t>
            </w:r>
          </w:p>
        </w:tc>
        <w:tc>
          <w:tcPr>
            <w:tcW w:w="5908" w:type="dxa"/>
            <w:gridSpan w:val="2"/>
            <w:tcBorders>
              <w:top w:val="single" w:sz="6" w:space="0" w:color="000000"/>
              <w:left w:val="single" w:sz="6" w:space="0" w:color="000000"/>
              <w:bottom w:val="single" w:sz="6" w:space="0" w:color="000000"/>
              <w:right w:val="single" w:sz="6" w:space="0" w:color="000000"/>
            </w:tcBorders>
            <w:hideMark/>
          </w:tcPr>
          <w:p w:rsidR="00000052" w:rsidRPr="00C21A75" w:rsidRDefault="00000052" w:rsidP="00000052">
            <w:pPr>
              <w:pStyle w:val="Texto"/>
              <w:ind w:firstLine="0"/>
            </w:pPr>
            <w:r>
              <w:t>Porcentaje del t</w:t>
            </w:r>
            <w:r w:rsidRPr="00C21A75">
              <w:t>iempo promedio de respuesta desde la solicitud hasta la primera dispersión.</w:t>
            </w:r>
          </w:p>
        </w:tc>
      </w:tr>
      <w:tr w:rsidR="00000052" w:rsidRPr="003141BE" w:rsidTr="00000052">
        <w:trPr>
          <w:cantSplit/>
          <w:trHeight w:val="116"/>
        </w:trPr>
        <w:tc>
          <w:tcPr>
            <w:tcW w:w="2126" w:type="dxa"/>
            <w:tcBorders>
              <w:top w:val="single" w:sz="6" w:space="0" w:color="000000"/>
              <w:left w:val="single" w:sz="6" w:space="0" w:color="000000"/>
              <w:bottom w:val="single" w:sz="6" w:space="0" w:color="000000"/>
              <w:right w:val="single" w:sz="6" w:space="0" w:color="000000"/>
            </w:tcBorders>
            <w:shd w:val="clear" w:color="auto" w:fill="D6E3BC"/>
            <w:hideMark/>
          </w:tcPr>
          <w:p w:rsidR="00000052" w:rsidRPr="003471FC" w:rsidRDefault="00000052" w:rsidP="00000052">
            <w:pPr>
              <w:pStyle w:val="Texto"/>
              <w:ind w:firstLine="0"/>
              <w:jc w:val="left"/>
            </w:pPr>
            <w:r w:rsidRPr="00C21A75">
              <w:rPr>
                <w:b/>
              </w:rPr>
              <w:t>Periodicidad</w:t>
            </w:r>
          </w:p>
        </w:tc>
        <w:tc>
          <w:tcPr>
            <w:tcW w:w="5908" w:type="dxa"/>
            <w:gridSpan w:val="2"/>
            <w:tcBorders>
              <w:top w:val="single" w:sz="6" w:space="0" w:color="000000"/>
              <w:left w:val="single" w:sz="6" w:space="0" w:color="000000"/>
              <w:bottom w:val="single" w:sz="6" w:space="0" w:color="000000"/>
              <w:right w:val="single" w:sz="6" w:space="0" w:color="000000"/>
            </w:tcBorders>
            <w:hideMark/>
          </w:tcPr>
          <w:p w:rsidR="00000052" w:rsidRPr="00C21A75" w:rsidRDefault="00000052" w:rsidP="00000052">
            <w:pPr>
              <w:pStyle w:val="Texto"/>
              <w:ind w:firstLine="0"/>
              <w:rPr>
                <w:szCs w:val="18"/>
              </w:rPr>
            </w:pPr>
            <w:r w:rsidRPr="00C21A75">
              <w:rPr>
                <w:szCs w:val="18"/>
              </w:rPr>
              <w:t>Anual.</w:t>
            </w:r>
          </w:p>
        </w:tc>
      </w:tr>
      <w:tr w:rsidR="00000052" w:rsidRPr="003141BE" w:rsidTr="00000052">
        <w:trPr>
          <w:cantSplit/>
          <w:trHeight w:val="176"/>
        </w:trPr>
        <w:tc>
          <w:tcPr>
            <w:tcW w:w="2126" w:type="dxa"/>
            <w:tcBorders>
              <w:top w:val="single" w:sz="6" w:space="0" w:color="000000"/>
              <w:left w:val="single" w:sz="6" w:space="0" w:color="000000"/>
              <w:bottom w:val="single" w:sz="6" w:space="0" w:color="000000"/>
              <w:right w:val="single" w:sz="6" w:space="0" w:color="000000"/>
            </w:tcBorders>
            <w:shd w:val="clear" w:color="auto" w:fill="D6E3BC"/>
            <w:hideMark/>
          </w:tcPr>
          <w:p w:rsidR="00000052" w:rsidRPr="003471FC" w:rsidRDefault="00000052" w:rsidP="00000052">
            <w:pPr>
              <w:pStyle w:val="Texto"/>
              <w:ind w:firstLine="0"/>
              <w:jc w:val="left"/>
            </w:pPr>
            <w:r w:rsidRPr="00C21A75">
              <w:rPr>
                <w:b/>
              </w:rPr>
              <w:t>Fuente</w:t>
            </w:r>
          </w:p>
        </w:tc>
        <w:tc>
          <w:tcPr>
            <w:tcW w:w="5908" w:type="dxa"/>
            <w:gridSpan w:val="2"/>
            <w:tcBorders>
              <w:top w:val="single" w:sz="6" w:space="0" w:color="000000"/>
              <w:left w:val="single" w:sz="6" w:space="0" w:color="000000"/>
              <w:bottom w:val="single" w:sz="6" w:space="0" w:color="000000"/>
              <w:right w:val="single" w:sz="6" w:space="0" w:color="000000"/>
            </w:tcBorders>
          </w:tcPr>
          <w:p w:rsidR="00000052" w:rsidRPr="00C21A75" w:rsidRDefault="00000052" w:rsidP="00000052">
            <w:pPr>
              <w:pStyle w:val="Texto"/>
              <w:ind w:firstLine="0"/>
              <w:rPr>
                <w:szCs w:val="18"/>
              </w:rPr>
            </w:pPr>
            <w:r w:rsidRPr="00B47F47">
              <w:rPr>
                <w:szCs w:val="18"/>
              </w:rPr>
              <w:t>Financiera Nacional de Desarrollo Agropecuario, Rural, Forestal y Pesquero.</w:t>
            </w:r>
          </w:p>
        </w:tc>
      </w:tr>
      <w:tr w:rsidR="00000052" w:rsidRPr="003141BE" w:rsidTr="00000052">
        <w:trPr>
          <w:cantSplit/>
          <w:trHeight w:val="176"/>
        </w:trPr>
        <w:tc>
          <w:tcPr>
            <w:tcW w:w="2126" w:type="dxa"/>
            <w:tcBorders>
              <w:top w:val="single" w:sz="6" w:space="0" w:color="000000"/>
              <w:left w:val="single" w:sz="6" w:space="0" w:color="000000"/>
              <w:bottom w:val="single" w:sz="6" w:space="0" w:color="000000"/>
              <w:right w:val="single" w:sz="6" w:space="0" w:color="000000"/>
            </w:tcBorders>
            <w:shd w:val="clear" w:color="auto" w:fill="D6E3BC"/>
            <w:hideMark/>
          </w:tcPr>
          <w:p w:rsidR="00000052" w:rsidRPr="003471FC" w:rsidRDefault="00000052" w:rsidP="00000052">
            <w:pPr>
              <w:pStyle w:val="Texto"/>
              <w:ind w:firstLine="0"/>
              <w:jc w:val="left"/>
            </w:pPr>
            <w:r w:rsidRPr="00C21A75">
              <w:rPr>
                <w:b/>
              </w:rPr>
              <w:t>Referencias adicionales</w:t>
            </w:r>
          </w:p>
        </w:tc>
        <w:tc>
          <w:tcPr>
            <w:tcW w:w="5908" w:type="dxa"/>
            <w:gridSpan w:val="2"/>
            <w:tcBorders>
              <w:top w:val="single" w:sz="6" w:space="0" w:color="000000"/>
              <w:left w:val="single" w:sz="6" w:space="0" w:color="000000"/>
              <w:bottom w:val="single" w:sz="6" w:space="0" w:color="000000"/>
              <w:right w:val="single" w:sz="6" w:space="0" w:color="000000"/>
            </w:tcBorders>
          </w:tcPr>
          <w:p w:rsidR="00000052" w:rsidRPr="00C21A75" w:rsidRDefault="00000052" w:rsidP="00000052">
            <w:pPr>
              <w:pStyle w:val="Texto"/>
              <w:ind w:firstLine="0"/>
              <w:rPr>
                <w:szCs w:val="18"/>
              </w:rPr>
            </w:pPr>
            <w:r w:rsidRPr="00C21A75">
              <w:rPr>
                <w:szCs w:val="18"/>
              </w:rPr>
              <w:t>Financiera Nacional de Desarrollo Agropecuario, Rural, Forestal y Pesquero.</w:t>
            </w:r>
          </w:p>
        </w:tc>
      </w:tr>
      <w:tr w:rsidR="00000052" w:rsidRPr="003141BE" w:rsidTr="00000052">
        <w:trPr>
          <w:cantSplit/>
          <w:trHeight w:val="108"/>
        </w:trPr>
        <w:tc>
          <w:tcPr>
            <w:tcW w:w="4110" w:type="dxa"/>
            <w:gridSpan w:val="2"/>
            <w:tcBorders>
              <w:top w:val="single" w:sz="6" w:space="0" w:color="000000"/>
              <w:left w:val="single" w:sz="6" w:space="0" w:color="000000"/>
              <w:bottom w:val="single" w:sz="6" w:space="0" w:color="000000"/>
              <w:right w:val="single" w:sz="6" w:space="0" w:color="000000"/>
            </w:tcBorders>
            <w:shd w:val="clear" w:color="auto" w:fill="D6E3BC"/>
          </w:tcPr>
          <w:p w:rsidR="00000052" w:rsidRPr="00C21A75" w:rsidRDefault="00000052" w:rsidP="00000052">
            <w:pPr>
              <w:pStyle w:val="Texto"/>
              <w:ind w:firstLine="0"/>
              <w:jc w:val="center"/>
              <w:rPr>
                <w:b/>
              </w:rPr>
            </w:pPr>
            <w:r w:rsidRPr="00C21A75">
              <w:rPr>
                <w:b/>
              </w:rPr>
              <w:t>Línea base 2013</w:t>
            </w:r>
          </w:p>
        </w:tc>
        <w:tc>
          <w:tcPr>
            <w:tcW w:w="3924" w:type="dxa"/>
            <w:tcBorders>
              <w:top w:val="single" w:sz="6" w:space="0" w:color="000000"/>
              <w:left w:val="single" w:sz="6" w:space="0" w:color="000000"/>
              <w:bottom w:val="single" w:sz="6" w:space="0" w:color="000000"/>
              <w:right w:val="single" w:sz="6" w:space="0" w:color="000000"/>
            </w:tcBorders>
            <w:shd w:val="clear" w:color="auto" w:fill="D6E3BC"/>
          </w:tcPr>
          <w:p w:rsidR="00000052" w:rsidRPr="00C21A75" w:rsidRDefault="00000052" w:rsidP="00000052">
            <w:pPr>
              <w:pStyle w:val="Texto"/>
              <w:ind w:firstLine="0"/>
              <w:jc w:val="center"/>
              <w:rPr>
                <w:b/>
              </w:rPr>
            </w:pPr>
            <w:r w:rsidRPr="00C21A75">
              <w:rPr>
                <w:b/>
              </w:rPr>
              <w:t>Meta 2018</w:t>
            </w:r>
          </w:p>
        </w:tc>
      </w:tr>
      <w:tr w:rsidR="00000052" w:rsidRPr="003141BE" w:rsidTr="00000052">
        <w:trPr>
          <w:cantSplit/>
          <w:trHeight w:val="108"/>
        </w:trPr>
        <w:tc>
          <w:tcPr>
            <w:tcW w:w="4110" w:type="dxa"/>
            <w:gridSpan w:val="2"/>
            <w:tcBorders>
              <w:top w:val="single" w:sz="6" w:space="0" w:color="000000"/>
              <w:left w:val="single" w:sz="6" w:space="0" w:color="000000"/>
              <w:bottom w:val="single" w:sz="6" w:space="0" w:color="000000"/>
              <w:right w:val="single" w:sz="6" w:space="0" w:color="000000"/>
            </w:tcBorders>
            <w:shd w:val="clear" w:color="auto" w:fill="auto"/>
          </w:tcPr>
          <w:p w:rsidR="00000052" w:rsidRPr="00C21A75" w:rsidRDefault="00000052" w:rsidP="00000052">
            <w:pPr>
              <w:ind w:firstLine="0"/>
              <w:jc w:val="center"/>
              <w:rPr>
                <w:b/>
              </w:rPr>
            </w:pPr>
            <w:r w:rsidRPr="00BD7060">
              <w:t>100%</w:t>
            </w:r>
          </w:p>
        </w:tc>
        <w:tc>
          <w:tcPr>
            <w:tcW w:w="3924" w:type="dxa"/>
            <w:tcBorders>
              <w:top w:val="single" w:sz="6" w:space="0" w:color="000000"/>
              <w:left w:val="single" w:sz="6" w:space="0" w:color="000000"/>
              <w:bottom w:val="single" w:sz="6" w:space="0" w:color="000000"/>
              <w:right w:val="single" w:sz="6" w:space="0" w:color="000000"/>
            </w:tcBorders>
            <w:shd w:val="clear" w:color="auto" w:fill="auto"/>
          </w:tcPr>
          <w:p w:rsidR="00000052" w:rsidRPr="00C21A75" w:rsidRDefault="00000052" w:rsidP="00000052">
            <w:pPr>
              <w:ind w:firstLine="0"/>
              <w:jc w:val="center"/>
              <w:rPr>
                <w:b/>
              </w:rPr>
            </w:pPr>
            <w:r w:rsidRPr="00BD7060">
              <w:t>85%</w:t>
            </w:r>
          </w:p>
        </w:tc>
      </w:tr>
    </w:tbl>
    <w:p w:rsidR="00000052" w:rsidRDefault="00000052" w:rsidP="00000052"/>
    <w:p w:rsidR="00000052" w:rsidRPr="00336FEF" w:rsidRDefault="00000052" w:rsidP="00000052"/>
    <w:p w:rsidR="00000052" w:rsidRDefault="00000052" w:rsidP="00000052">
      <w:pPr>
        <w:rPr>
          <w:b/>
        </w:rPr>
      </w:pPr>
      <w:r w:rsidRPr="0040105D">
        <w:rPr>
          <w:b/>
        </w:rPr>
        <w:t xml:space="preserve">Objetivo 2. Incrementar la </w:t>
      </w:r>
      <w:r>
        <w:rPr>
          <w:b/>
        </w:rPr>
        <w:t>inversión en activos fijos para el sector agroalimentario y rural.</w:t>
      </w:r>
    </w:p>
    <w:p w:rsidR="00000052" w:rsidRPr="00E87D2B" w:rsidRDefault="00000052" w:rsidP="00000052">
      <w:pPr>
        <w:rPr>
          <w:b/>
        </w:rPr>
      </w:pPr>
    </w:p>
    <w:tbl>
      <w:tblPr>
        <w:tblW w:w="8034" w:type="dxa"/>
        <w:tblInd w:w="534" w:type="dxa"/>
        <w:tblLayout w:type="fixed"/>
        <w:tblLook w:val="04A0" w:firstRow="1" w:lastRow="0" w:firstColumn="1" w:lastColumn="0" w:noHBand="0" w:noVBand="1"/>
      </w:tblPr>
      <w:tblGrid>
        <w:gridCol w:w="2126"/>
        <w:gridCol w:w="1984"/>
        <w:gridCol w:w="3924"/>
      </w:tblGrid>
      <w:tr w:rsidR="00000052" w:rsidRPr="003141BE" w:rsidTr="00000052">
        <w:trPr>
          <w:cantSplit/>
          <w:trHeight w:val="206"/>
        </w:trPr>
        <w:tc>
          <w:tcPr>
            <w:tcW w:w="2126" w:type="dxa"/>
            <w:tcBorders>
              <w:top w:val="single" w:sz="6" w:space="0" w:color="000000"/>
              <w:left w:val="single" w:sz="6" w:space="0" w:color="000000"/>
              <w:bottom w:val="single" w:sz="6" w:space="0" w:color="000000"/>
              <w:right w:val="single" w:sz="6" w:space="0" w:color="000000"/>
            </w:tcBorders>
            <w:shd w:val="clear" w:color="auto" w:fill="D6E3BC"/>
            <w:hideMark/>
          </w:tcPr>
          <w:p w:rsidR="00000052" w:rsidRPr="00B47F47" w:rsidRDefault="00000052" w:rsidP="00000052">
            <w:pPr>
              <w:pStyle w:val="Texto"/>
              <w:ind w:firstLine="0"/>
              <w:jc w:val="left"/>
              <w:rPr>
                <w:b/>
              </w:rPr>
            </w:pPr>
            <w:r w:rsidRPr="00B47F47">
              <w:rPr>
                <w:b/>
              </w:rPr>
              <w:t>Indicador</w:t>
            </w:r>
          </w:p>
        </w:tc>
        <w:tc>
          <w:tcPr>
            <w:tcW w:w="5908" w:type="dxa"/>
            <w:gridSpan w:val="2"/>
            <w:tcBorders>
              <w:top w:val="single" w:sz="6" w:space="0" w:color="000000"/>
              <w:left w:val="single" w:sz="6" w:space="0" w:color="000000"/>
              <w:bottom w:val="single" w:sz="6" w:space="0" w:color="000000"/>
              <w:right w:val="single" w:sz="6" w:space="0" w:color="000000"/>
            </w:tcBorders>
          </w:tcPr>
          <w:p w:rsidR="00000052" w:rsidRPr="00D03520" w:rsidRDefault="00000052" w:rsidP="00000052">
            <w:pPr>
              <w:pStyle w:val="Texto"/>
              <w:ind w:firstLine="0"/>
              <w:rPr>
                <w:szCs w:val="18"/>
              </w:rPr>
            </w:pPr>
            <w:r w:rsidRPr="00D03520">
              <w:rPr>
                <w:szCs w:val="18"/>
              </w:rPr>
              <w:t xml:space="preserve">Proporción </w:t>
            </w:r>
            <w:r>
              <w:rPr>
                <w:szCs w:val="18"/>
              </w:rPr>
              <w:t xml:space="preserve">de créditos directos otorgados a mediano y largo plazo. </w:t>
            </w:r>
          </w:p>
        </w:tc>
      </w:tr>
      <w:tr w:rsidR="00000052" w:rsidRPr="003141BE" w:rsidTr="00000052">
        <w:trPr>
          <w:cantSplit/>
          <w:trHeight w:val="124"/>
        </w:trPr>
        <w:tc>
          <w:tcPr>
            <w:tcW w:w="2126" w:type="dxa"/>
            <w:tcBorders>
              <w:top w:val="single" w:sz="6" w:space="0" w:color="000000"/>
              <w:left w:val="single" w:sz="6" w:space="0" w:color="000000"/>
              <w:bottom w:val="single" w:sz="6" w:space="0" w:color="000000"/>
              <w:right w:val="single" w:sz="6" w:space="0" w:color="000000"/>
            </w:tcBorders>
            <w:shd w:val="clear" w:color="auto" w:fill="D6E3BC"/>
            <w:hideMark/>
          </w:tcPr>
          <w:p w:rsidR="00000052" w:rsidRPr="00B47F47" w:rsidRDefault="00000052" w:rsidP="00000052">
            <w:pPr>
              <w:pStyle w:val="Texto"/>
              <w:ind w:firstLine="0"/>
              <w:jc w:val="left"/>
              <w:rPr>
                <w:b/>
              </w:rPr>
            </w:pPr>
            <w:r w:rsidRPr="00B47F47">
              <w:rPr>
                <w:b/>
              </w:rPr>
              <w:t>Descripción general</w:t>
            </w:r>
          </w:p>
        </w:tc>
        <w:tc>
          <w:tcPr>
            <w:tcW w:w="5908" w:type="dxa"/>
            <w:gridSpan w:val="2"/>
            <w:tcBorders>
              <w:top w:val="single" w:sz="6" w:space="0" w:color="000000"/>
              <w:left w:val="single" w:sz="6" w:space="0" w:color="000000"/>
              <w:bottom w:val="single" w:sz="6" w:space="0" w:color="000000"/>
              <w:right w:val="single" w:sz="6" w:space="0" w:color="000000"/>
            </w:tcBorders>
            <w:hideMark/>
          </w:tcPr>
          <w:p w:rsidR="00000052" w:rsidRPr="00D03520" w:rsidRDefault="00000052" w:rsidP="00000052">
            <w:pPr>
              <w:pStyle w:val="Texto"/>
              <w:ind w:firstLine="0"/>
              <w:rPr>
                <w:szCs w:val="18"/>
              </w:rPr>
            </w:pPr>
            <w:r>
              <w:rPr>
                <w:szCs w:val="18"/>
              </w:rPr>
              <w:t xml:space="preserve">Mide el porcentaje de créditos directos otorgados a mediano y largo plazo </w:t>
            </w:r>
            <w:r w:rsidRPr="00D03520">
              <w:rPr>
                <w:szCs w:val="18"/>
              </w:rPr>
              <w:t xml:space="preserve">del total de la cartera.  </w:t>
            </w:r>
          </w:p>
        </w:tc>
      </w:tr>
      <w:tr w:rsidR="00000052" w:rsidRPr="003141BE" w:rsidTr="00000052">
        <w:trPr>
          <w:cantSplit/>
          <w:trHeight w:val="183"/>
        </w:trPr>
        <w:tc>
          <w:tcPr>
            <w:tcW w:w="2126" w:type="dxa"/>
            <w:tcBorders>
              <w:top w:val="single" w:sz="6" w:space="0" w:color="000000"/>
              <w:left w:val="single" w:sz="6" w:space="0" w:color="000000"/>
              <w:bottom w:val="single" w:sz="6" w:space="0" w:color="000000"/>
              <w:right w:val="single" w:sz="6" w:space="0" w:color="000000"/>
            </w:tcBorders>
            <w:shd w:val="clear" w:color="auto" w:fill="D6E3BC"/>
            <w:hideMark/>
          </w:tcPr>
          <w:p w:rsidR="00000052" w:rsidRPr="00B47F47" w:rsidRDefault="00000052" w:rsidP="00000052">
            <w:pPr>
              <w:pStyle w:val="Texto"/>
              <w:ind w:firstLine="0"/>
              <w:jc w:val="left"/>
              <w:rPr>
                <w:b/>
              </w:rPr>
            </w:pPr>
            <w:r w:rsidRPr="00B47F47">
              <w:rPr>
                <w:b/>
              </w:rPr>
              <w:t>Observaciones</w:t>
            </w:r>
          </w:p>
        </w:tc>
        <w:tc>
          <w:tcPr>
            <w:tcW w:w="5908" w:type="dxa"/>
            <w:gridSpan w:val="2"/>
            <w:tcBorders>
              <w:top w:val="single" w:sz="6" w:space="0" w:color="000000"/>
              <w:left w:val="single" w:sz="6" w:space="0" w:color="000000"/>
              <w:bottom w:val="single" w:sz="6" w:space="0" w:color="000000"/>
              <w:right w:val="single" w:sz="6" w:space="0" w:color="000000"/>
            </w:tcBorders>
            <w:hideMark/>
          </w:tcPr>
          <w:p w:rsidR="00000052" w:rsidRPr="00D03520" w:rsidRDefault="00000052" w:rsidP="00000052">
            <w:pPr>
              <w:pStyle w:val="Texto"/>
              <w:ind w:firstLine="0"/>
              <w:rPr>
                <w:szCs w:val="18"/>
              </w:rPr>
            </w:pPr>
            <w:r w:rsidRPr="00D03520">
              <w:rPr>
                <w:szCs w:val="18"/>
              </w:rPr>
              <w:t>Porcentaje de productos crediticios otorgados a mediano y largo plazo</w:t>
            </w:r>
            <w:r>
              <w:rPr>
                <w:szCs w:val="18"/>
              </w:rPr>
              <w:t>.</w:t>
            </w:r>
            <w:r w:rsidRPr="00D03520">
              <w:rPr>
                <w:szCs w:val="18"/>
              </w:rPr>
              <w:t xml:space="preserve"> </w:t>
            </w:r>
          </w:p>
        </w:tc>
      </w:tr>
      <w:tr w:rsidR="00000052" w:rsidRPr="003141BE" w:rsidTr="00000052">
        <w:trPr>
          <w:cantSplit/>
          <w:trHeight w:val="116"/>
        </w:trPr>
        <w:tc>
          <w:tcPr>
            <w:tcW w:w="2126" w:type="dxa"/>
            <w:tcBorders>
              <w:top w:val="single" w:sz="6" w:space="0" w:color="000000"/>
              <w:left w:val="single" w:sz="6" w:space="0" w:color="000000"/>
              <w:bottom w:val="single" w:sz="6" w:space="0" w:color="000000"/>
              <w:right w:val="single" w:sz="6" w:space="0" w:color="000000"/>
            </w:tcBorders>
            <w:shd w:val="clear" w:color="auto" w:fill="D6E3BC"/>
            <w:hideMark/>
          </w:tcPr>
          <w:p w:rsidR="00000052" w:rsidRPr="00B47F47" w:rsidRDefault="00000052" w:rsidP="00000052">
            <w:pPr>
              <w:pStyle w:val="Texto"/>
              <w:ind w:firstLine="0"/>
              <w:jc w:val="left"/>
              <w:rPr>
                <w:b/>
              </w:rPr>
            </w:pPr>
            <w:r w:rsidRPr="00B47F47">
              <w:rPr>
                <w:b/>
              </w:rPr>
              <w:t>Periodicidad</w:t>
            </w:r>
          </w:p>
        </w:tc>
        <w:tc>
          <w:tcPr>
            <w:tcW w:w="5908" w:type="dxa"/>
            <w:gridSpan w:val="2"/>
            <w:tcBorders>
              <w:top w:val="single" w:sz="6" w:space="0" w:color="000000"/>
              <w:left w:val="single" w:sz="6" w:space="0" w:color="000000"/>
              <w:bottom w:val="single" w:sz="6" w:space="0" w:color="000000"/>
              <w:right w:val="single" w:sz="6" w:space="0" w:color="000000"/>
            </w:tcBorders>
            <w:hideMark/>
          </w:tcPr>
          <w:p w:rsidR="00000052" w:rsidRPr="00D03520" w:rsidRDefault="00000052" w:rsidP="00000052">
            <w:pPr>
              <w:pStyle w:val="Texto"/>
              <w:ind w:firstLine="0"/>
              <w:rPr>
                <w:szCs w:val="18"/>
              </w:rPr>
            </w:pPr>
            <w:r w:rsidRPr="00D03520">
              <w:rPr>
                <w:szCs w:val="18"/>
              </w:rPr>
              <w:t>Anual.</w:t>
            </w:r>
          </w:p>
        </w:tc>
      </w:tr>
      <w:tr w:rsidR="00000052" w:rsidRPr="003141BE" w:rsidTr="00000052">
        <w:trPr>
          <w:cantSplit/>
          <w:trHeight w:val="176"/>
        </w:trPr>
        <w:tc>
          <w:tcPr>
            <w:tcW w:w="2126" w:type="dxa"/>
            <w:tcBorders>
              <w:top w:val="single" w:sz="6" w:space="0" w:color="000000"/>
              <w:left w:val="single" w:sz="6" w:space="0" w:color="000000"/>
              <w:bottom w:val="single" w:sz="6" w:space="0" w:color="000000"/>
              <w:right w:val="single" w:sz="6" w:space="0" w:color="000000"/>
            </w:tcBorders>
            <w:shd w:val="clear" w:color="auto" w:fill="D6E3BC"/>
            <w:hideMark/>
          </w:tcPr>
          <w:p w:rsidR="00000052" w:rsidRPr="00B47F47" w:rsidRDefault="00000052" w:rsidP="00000052">
            <w:pPr>
              <w:pStyle w:val="Texto"/>
              <w:ind w:firstLine="0"/>
              <w:jc w:val="left"/>
              <w:rPr>
                <w:b/>
              </w:rPr>
            </w:pPr>
            <w:r w:rsidRPr="00B47F47">
              <w:rPr>
                <w:b/>
              </w:rPr>
              <w:t>Fuente:</w:t>
            </w:r>
          </w:p>
        </w:tc>
        <w:tc>
          <w:tcPr>
            <w:tcW w:w="5908" w:type="dxa"/>
            <w:gridSpan w:val="2"/>
            <w:tcBorders>
              <w:top w:val="single" w:sz="6" w:space="0" w:color="000000"/>
              <w:left w:val="single" w:sz="6" w:space="0" w:color="000000"/>
              <w:bottom w:val="single" w:sz="6" w:space="0" w:color="000000"/>
              <w:right w:val="single" w:sz="6" w:space="0" w:color="000000"/>
            </w:tcBorders>
          </w:tcPr>
          <w:p w:rsidR="00000052" w:rsidRPr="00D03520" w:rsidRDefault="00000052" w:rsidP="00000052">
            <w:pPr>
              <w:pStyle w:val="Texto"/>
              <w:ind w:firstLine="0"/>
              <w:rPr>
                <w:szCs w:val="18"/>
              </w:rPr>
            </w:pPr>
            <w:r w:rsidRPr="00B47F47">
              <w:rPr>
                <w:szCs w:val="18"/>
              </w:rPr>
              <w:t>Financiera Nacional de Desarrollo Agropecuario, Rural, Forestal y Pesquero.</w:t>
            </w:r>
          </w:p>
        </w:tc>
      </w:tr>
      <w:tr w:rsidR="00000052" w:rsidRPr="003141BE" w:rsidTr="00000052">
        <w:trPr>
          <w:cantSplit/>
          <w:trHeight w:val="176"/>
        </w:trPr>
        <w:tc>
          <w:tcPr>
            <w:tcW w:w="2126" w:type="dxa"/>
            <w:tcBorders>
              <w:top w:val="single" w:sz="6" w:space="0" w:color="000000"/>
              <w:left w:val="single" w:sz="6" w:space="0" w:color="000000"/>
              <w:bottom w:val="single" w:sz="6" w:space="0" w:color="000000"/>
              <w:right w:val="single" w:sz="6" w:space="0" w:color="000000"/>
            </w:tcBorders>
            <w:shd w:val="clear" w:color="auto" w:fill="D6E3BC"/>
            <w:hideMark/>
          </w:tcPr>
          <w:p w:rsidR="00000052" w:rsidRPr="00B47F47" w:rsidRDefault="00000052" w:rsidP="00000052">
            <w:pPr>
              <w:pStyle w:val="Texto"/>
              <w:ind w:firstLine="0"/>
              <w:jc w:val="left"/>
              <w:rPr>
                <w:b/>
              </w:rPr>
            </w:pPr>
            <w:r w:rsidRPr="00B47F47">
              <w:rPr>
                <w:b/>
              </w:rPr>
              <w:t>Referencias adicionales</w:t>
            </w:r>
          </w:p>
        </w:tc>
        <w:tc>
          <w:tcPr>
            <w:tcW w:w="5908" w:type="dxa"/>
            <w:gridSpan w:val="2"/>
            <w:tcBorders>
              <w:top w:val="single" w:sz="6" w:space="0" w:color="000000"/>
              <w:left w:val="single" w:sz="6" w:space="0" w:color="000000"/>
              <w:bottom w:val="single" w:sz="6" w:space="0" w:color="000000"/>
              <w:right w:val="single" w:sz="6" w:space="0" w:color="000000"/>
            </w:tcBorders>
          </w:tcPr>
          <w:p w:rsidR="00000052" w:rsidRPr="00D03520" w:rsidRDefault="00000052" w:rsidP="00000052">
            <w:pPr>
              <w:pStyle w:val="Texto"/>
              <w:ind w:firstLine="0"/>
              <w:rPr>
                <w:szCs w:val="18"/>
              </w:rPr>
            </w:pPr>
            <w:r w:rsidRPr="00D03520">
              <w:rPr>
                <w:szCs w:val="18"/>
              </w:rPr>
              <w:t>Financiera Nacional de Desarrollo Agropecuario, Rural, Forestal y Pesquero.</w:t>
            </w:r>
          </w:p>
        </w:tc>
      </w:tr>
      <w:tr w:rsidR="00000052" w:rsidRPr="00B47F47" w:rsidTr="00000052">
        <w:trPr>
          <w:cantSplit/>
          <w:trHeight w:val="108"/>
        </w:trPr>
        <w:tc>
          <w:tcPr>
            <w:tcW w:w="4110" w:type="dxa"/>
            <w:gridSpan w:val="2"/>
            <w:tcBorders>
              <w:top w:val="single" w:sz="6" w:space="0" w:color="000000"/>
              <w:left w:val="single" w:sz="6" w:space="0" w:color="000000"/>
              <w:bottom w:val="single" w:sz="6" w:space="0" w:color="000000"/>
              <w:right w:val="single" w:sz="6" w:space="0" w:color="000000"/>
            </w:tcBorders>
            <w:shd w:val="clear" w:color="auto" w:fill="D6E3BC"/>
            <w:hideMark/>
          </w:tcPr>
          <w:p w:rsidR="00000052" w:rsidRPr="00B47F47" w:rsidRDefault="00000052" w:rsidP="00000052">
            <w:pPr>
              <w:pStyle w:val="Texto"/>
              <w:ind w:firstLine="0"/>
              <w:jc w:val="center"/>
              <w:rPr>
                <w:b/>
              </w:rPr>
            </w:pPr>
            <w:r w:rsidRPr="00B47F47">
              <w:rPr>
                <w:b/>
              </w:rPr>
              <w:t>Línea base 2013</w:t>
            </w:r>
          </w:p>
        </w:tc>
        <w:tc>
          <w:tcPr>
            <w:tcW w:w="3924" w:type="dxa"/>
            <w:tcBorders>
              <w:top w:val="single" w:sz="6" w:space="0" w:color="000000"/>
              <w:left w:val="single" w:sz="6" w:space="0" w:color="000000"/>
              <w:bottom w:val="single" w:sz="6" w:space="0" w:color="000000"/>
              <w:right w:val="single" w:sz="6" w:space="0" w:color="000000"/>
            </w:tcBorders>
            <w:shd w:val="clear" w:color="auto" w:fill="D6E3BC"/>
            <w:hideMark/>
          </w:tcPr>
          <w:p w:rsidR="00000052" w:rsidRPr="00B47F47" w:rsidRDefault="00000052" w:rsidP="00000052">
            <w:pPr>
              <w:pStyle w:val="Texto"/>
              <w:ind w:firstLine="0"/>
              <w:jc w:val="center"/>
              <w:rPr>
                <w:b/>
              </w:rPr>
            </w:pPr>
            <w:r w:rsidRPr="00B47F47">
              <w:rPr>
                <w:b/>
              </w:rPr>
              <w:t>Meta 2018</w:t>
            </w:r>
          </w:p>
        </w:tc>
      </w:tr>
      <w:tr w:rsidR="00000052" w:rsidRPr="003141BE" w:rsidTr="00000052">
        <w:trPr>
          <w:cantSplit/>
          <w:trHeight w:val="182"/>
        </w:trPr>
        <w:tc>
          <w:tcPr>
            <w:tcW w:w="4110" w:type="dxa"/>
            <w:gridSpan w:val="2"/>
            <w:tcBorders>
              <w:top w:val="single" w:sz="6" w:space="0" w:color="000000"/>
              <w:left w:val="single" w:sz="6" w:space="0" w:color="000000"/>
              <w:bottom w:val="single" w:sz="6" w:space="0" w:color="000000"/>
              <w:right w:val="single" w:sz="6" w:space="0" w:color="000000"/>
            </w:tcBorders>
          </w:tcPr>
          <w:p w:rsidR="00000052" w:rsidRPr="003C62D8" w:rsidRDefault="00000052" w:rsidP="00000052">
            <w:pPr>
              <w:pStyle w:val="Texto"/>
              <w:ind w:firstLine="0"/>
              <w:jc w:val="center"/>
            </w:pPr>
            <w:r w:rsidRPr="003C62D8">
              <w:t>37.4%</w:t>
            </w:r>
          </w:p>
        </w:tc>
        <w:tc>
          <w:tcPr>
            <w:tcW w:w="3924" w:type="dxa"/>
            <w:tcBorders>
              <w:top w:val="single" w:sz="6" w:space="0" w:color="000000"/>
              <w:left w:val="single" w:sz="6" w:space="0" w:color="000000"/>
              <w:bottom w:val="single" w:sz="6" w:space="0" w:color="000000"/>
              <w:right w:val="single" w:sz="6" w:space="0" w:color="000000"/>
            </w:tcBorders>
          </w:tcPr>
          <w:p w:rsidR="00000052" w:rsidRPr="003C62D8" w:rsidRDefault="00000052" w:rsidP="00000052">
            <w:pPr>
              <w:pStyle w:val="Texto"/>
              <w:ind w:firstLine="0"/>
              <w:jc w:val="center"/>
            </w:pPr>
            <w:r w:rsidRPr="003C62D8">
              <w:t>50%</w:t>
            </w:r>
          </w:p>
        </w:tc>
      </w:tr>
    </w:tbl>
    <w:p w:rsidR="00000052" w:rsidRDefault="00000052" w:rsidP="00000052">
      <w:pPr>
        <w:rPr>
          <w:b/>
        </w:rPr>
      </w:pPr>
    </w:p>
    <w:p w:rsidR="00000052" w:rsidRPr="00E87D2B" w:rsidRDefault="00000052" w:rsidP="00000052">
      <w:pPr>
        <w:rPr>
          <w:b/>
        </w:rPr>
      </w:pPr>
    </w:p>
    <w:p w:rsidR="00000052" w:rsidRDefault="00000052" w:rsidP="00000052">
      <w:pPr>
        <w:rPr>
          <w:b/>
        </w:rPr>
      </w:pPr>
      <w:r w:rsidRPr="001D1589">
        <w:rPr>
          <w:b/>
        </w:rPr>
        <w:t>Objetivo 3. Incrementar la oferta financiera con especial énfasis en pequeños productores</w:t>
      </w:r>
      <w:r>
        <w:rPr>
          <w:b/>
        </w:rPr>
        <w:t>.</w:t>
      </w:r>
    </w:p>
    <w:p w:rsidR="00000052" w:rsidRPr="00E87D2B" w:rsidRDefault="00000052" w:rsidP="00000052">
      <w:pPr>
        <w:rPr>
          <w:b/>
        </w:rPr>
      </w:pPr>
    </w:p>
    <w:tbl>
      <w:tblPr>
        <w:tblW w:w="8034" w:type="dxa"/>
        <w:tblInd w:w="534" w:type="dxa"/>
        <w:tblLayout w:type="fixed"/>
        <w:tblLook w:val="04A0" w:firstRow="1" w:lastRow="0" w:firstColumn="1" w:lastColumn="0" w:noHBand="0" w:noVBand="1"/>
      </w:tblPr>
      <w:tblGrid>
        <w:gridCol w:w="2126"/>
        <w:gridCol w:w="1984"/>
        <w:gridCol w:w="3924"/>
      </w:tblGrid>
      <w:tr w:rsidR="00000052" w:rsidRPr="003141BE" w:rsidTr="00000052">
        <w:trPr>
          <w:cantSplit/>
          <w:trHeight w:val="206"/>
        </w:trPr>
        <w:tc>
          <w:tcPr>
            <w:tcW w:w="2126" w:type="dxa"/>
            <w:tcBorders>
              <w:top w:val="single" w:sz="6" w:space="0" w:color="000000"/>
              <w:left w:val="single" w:sz="6" w:space="0" w:color="000000"/>
              <w:bottom w:val="single" w:sz="6" w:space="0" w:color="000000"/>
              <w:right w:val="single" w:sz="6" w:space="0" w:color="000000"/>
            </w:tcBorders>
            <w:shd w:val="clear" w:color="auto" w:fill="D6E3BC"/>
            <w:hideMark/>
          </w:tcPr>
          <w:p w:rsidR="00000052" w:rsidRPr="00B47F47" w:rsidRDefault="00000052" w:rsidP="00000052">
            <w:pPr>
              <w:pStyle w:val="Texto"/>
              <w:ind w:firstLine="0"/>
              <w:jc w:val="left"/>
              <w:rPr>
                <w:b/>
              </w:rPr>
            </w:pPr>
            <w:r w:rsidRPr="00B47F47">
              <w:rPr>
                <w:b/>
              </w:rPr>
              <w:t>Indicador</w:t>
            </w:r>
          </w:p>
        </w:tc>
        <w:tc>
          <w:tcPr>
            <w:tcW w:w="5908" w:type="dxa"/>
            <w:gridSpan w:val="2"/>
            <w:tcBorders>
              <w:top w:val="single" w:sz="6" w:space="0" w:color="000000"/>
              <w:left w:val="single" w:sz="6" w:space="0" w:color="000000"/>
              <w:bottom w:val="single" w:sz="6" w:space="0" w:color="000000"/>
              <w:right w:val="single" w:sz="6" w:space="0" w:color="000000"/>
            </w:tcBorders>
          </w:tcPr>
          <w:p w:rsidR="00000052" w:rsidRPr="00060B25" w:rsidRDefault="00000052" w:rsidP="00000052">
            <w:pPr>
              <w:pStyle w:val="Texto"/>
              <w:ind w:firstLine="0"/>
              <w:jc w:val="left"/>
              <w:rPr>
                <w:szCs w:val="18"/>
              </w:rPr>
            </w:pPr>
            <w:r w:rsidRPr="00060B25">
              <w:rPr>
                <w:szCs w:val="18"/>
              </w:rPr>
              <w:t>Número de pequeños productores atendidos.</w:t>
            </w:r>
          </w:p>
        </w:tc>
      </w:tr>
      <w:tr w:rsidR="00000052" w:rsidRPr="003141BE" w:rsidTr="00000052">
        <w:trPr>
          <w:cantSplit/>
          <w:trHeight w:val="124"/>
        </w:trPr>
        <w:tc>
          <w:tcPr>
            <w:tcW w:w="2126" w:type="dxa"/>
            <w:tcBorders>
              <w:top w:val="single" w:sz="6" w:space="0" w:color="000000"/>
              <w:left w:val="single" w:sz="6" w:space="0" w:color="000000"/>
              <w:bottom w:val="single" w:sz="6" w:space="0" w:color="000000"/>
              <w:right w:val="single" w:sz="6" w:space="0" w:color="000000"/>
            </w:tcBorders>
            <w:shd w:val="clear" w:color="auto" w:fill="D6E3BC"/>
            <w:hideMark/>
          </w:tcPr>
          <w:p w:rsidR="00000052" w:rsidRPr="00B47F47" w:rsidRDefault="00000052" w:rsidP="00000052">
            <w:pPr>
              <w:pStyle w:val="Texto"/>
              <w:ind w:firstLine="0"/>
              <w:jc w:val="left"/>
              <w:rPr>
                <w:b/>
              </w:rPr>
            </w:pPr>
            <w:r w:rsidRPr="00B47F47">
              <w:rPr>
                <w:b/>
              </w:rPr>
              <w:t>Descripción general</w:t>
            </w:r>
          </w:p>
        </w:tc>
        <w:tc>
          <w:tcPr>
            <w:tcW w:w="5908" w:type="dxa"/>
            <w:gridSpan w:val="2"/>
            <w:tcBorders>
              <w:top w:val="single" w:sz="6" w:space="0" w:color="000000"/>
              <w:left w:val="single" w:sz="6" w:space="0" w:color="000000"/>
              <w:bottom w:val="single" w:sz="6" w:space="0" w:color="000000"/>
              <w:right w:val="single" w:sz="6" w:space="0" w:color="000000"/>
            </w:tcBorders>
            <w:hideMark/>
          </w:tcPr>
          <w:p w:rsidR="00000052" w:rsidRPr="00060B25" w:rsidRDefault="00000052" w:rsidP="00000052">
            <w:pPr>
              <w:pStyle w:val="Texto"/>
              <w:ind w:firstLine="0"/>
              <w:rPr>
                <w:szCs w:val="18"/>
              </w:rPr>
            </w:pPr>
            <w:r>
              <w:rPr>
                <w:szCs w:val="18"/>
              </w:rPr>
              <w:t>Universo en p</w:t>
            </w:r>
            <w:r w:rsidRPr="00060B25">
              <w:rPr>
                <w:szCs w:val="18"/>
              </w:rPr>
              <w:t>orcentaje de pequeños productores atendidos a través de crédito directo e indirecto.</w:t>
            </w:r>
          </w:p>
        </w:tc>
      </w:tr>
      <w:tr w:rsidR="00000052" w:rsidRPr="003141BE" w:rsidTr="00000052">
        <w:trPr>
          <w:cantSplit/>
          <w:trHeight w:val="183"/>
        </w:trPr>
        <w:tc>
          <w:tcPr>
            <w:tcW w:w="2126" w:type="dxa"/>
            <w:tcBorders>
              <w:top w:val="single" w:sz="6" w:space="0" w:color="000000"/>
              <w:left w:val="single" w:sz="6" w:space="0" w:color="000000"/>
              <w:bottom w:val="single" w:sz="6" w:space="0" w:color="000000"/>
              <w:right w:val="single" w:sz="6" w:space="0" w:color="000000"/>
            </w:tcBorders>
            <w:shd w:val="clear" w:color="auto" w:fill="D6E3BC"/>
            <w:hideMark/>
          </w:tcPr>
          <w:p w:rsidR="00000052" w:rsidRPr="00B47F47" w:rsidRDefault="00000052" w:rsidP="00000052">
            <w:pPr>
              <w:pStyle w:val="Texto"/>
              <w:ind w:firstLine="0"/>
              <w:jc w:val="left"/>
              <w:rPr>
                <w:b/>
              </w:rPr>
            </w:pPr>
            <w:r w:rsidRPr="00B47F47">
              <w:rPr>
                <w:b/>
              </w:rPr>
              <w:t>Observaciones</w:t>
            </w:r>
          </w:p>
        </w:tc>
        <w:tc>
          <w:tcPr>
            <w:tcW w:w="5908" w:type="dxa"/>
            <w:gridSpan w:val="2"/>
            <w:tcBorders>
              <w:top w:val="single" w:sz="6" w:space="0" w:color="000000"/>
              <w:left w:val="single" w:sz="6" w:space="0" w:color="000000"/>
              <w:bottom w:val="single" w:sz="6" w:space="0" w:color="000000"/>
              <w:right w:val="single" w:sz="6" w:space="0" w:color="000000"/>
            </w:tcBorders>
            <w:hideMark/>
          </w:tcPr>
          <w:p w:rsidR="00000052" w:rsidRPr="00060B25" w:rsidRDefault="00000052" w:rsidP="00000052">
            <w:pPr>
              <w:pStyle w:val="Texto"/>
              <w:ind w:firstLine="0"/>
              <w:rPr>
                <w:szCs w:val="18"/>
              </w:rPr>
            </w:pPr>
            <w:r w:rsidRPr="00060B25">
              <w:rPr>
                <w:szCs w:val="18"/>
              </w:rPr>
              <w:t>Porcentaje de pequeños productores atendidos mediante crédito directo e indirecto al cierre del ejercicio con cartera vigente.</w:t>
            </w:r>
          </w:p>
        </w:tc>
      </w:tr>
      <w:tr w:rsidR="00000052" w:rsidRPr="003141BE" w:rsidTr="00000052">
        <w:trPr>
          <w:cantSplit/>
          <w:trHeight w:val="116"/>
        </w:trPr>
        <w:tc>
          <w:tcPr>
            <w:tcW w:w="2126" w:type="dxa"/>
            <w:tcBorders>
              <w:top w:val="single" w:sz="6" w:space="0" w:color="000000"/>
              <w:left w:val="single" w:sz="6" w:space="0" w:color="000000"/>
              <w:bottom w:val="single" w:sz="6" w:space="0" w:color="000000"/>
              <w:right w:val="single" w:sz="6" w:space="0" w:color="000000"/>
            </w:tcBorders>
            <w:shd w:val="clear" w:color="auto" w:fill="D6E3BC"/>
            <w:hideMark/>
          </w:tcPr>
          <w:p w:rsidR="00000052" w:rsidRPr="00B47F47" w:rsidRDefault="00000052" w:rsidP="00000052">
            <w:pPr>
              <w:pStyle w:val="Texto"/>
              <w:ind w:firstLine="0"/>
              <w:jc w:val="left"/>
              <w:rPr>
                <w:b/>
              </w:rPr>
            </w:pPr>
            <w:r w:rsidRPr="00B47F47">
              <w:rPr>
                <w:b/>
              </w:rPr>
              <w:t>Periodicidad</w:t>
            </w:r>
          </w:p>
        </w:tc>
        <w:tc>
          <w:tcPr>
            <w:tcW w:w="5908" w:type="dxa"/>
            <w:gridSpan w:val="2"/>
            <w:tcBorders>
              <w:top w:val="single" w:sz="6" w:space="0" w:color="000000"/>
              <w:left w:val="single" w:sz="6" w:space="0" w:color="000000"/>
              <w:bottom w:val="single" w:sz="6" w:space="0" w:color="000000"/>
              <w:right w:val="single" w:sz="6" w:space="0" w:color="000000"/>
            </w:tcBorders>
            <w:hideMark/>
          </w:tcPr>
          <w:p w:rsidR="00000052" w:rsidRPr="00060B25" w:rsidRDefault="00000052" w:rsidP="00000052">
            <w:pPr>
              <w:pStyle w:val="Texto"/>
              <w:ind w:firstLine="0"/>
              <w:jc w:val="left"/>
              <w:rPr>
                <w:szCs w:val="18"/>
              </w:rPr>
            </w:pPr>
            <w:r w:rsidRPr="00060B25">
              <w:rPr>
                <w:szCs w:val="18"/>
              </w:rPr>
              <w:t>Anual.</w:t>
            </w:r>
          </w:p>
        </w:tc>
      </w:tr>
      <w:tr w:rsidR="00000052" w:rsidRPr="003141BE" w:rsidTr="00000052">
        <w:trPr>
          <w:cantSplit/>
          <w:trHeight w:val="176"/>
        </w:trPr>
        <w:tc>
          <w:tcPr>
            <w:tcW w:w="2126" w:type="dxa"/>
            <w:tcBorders>
              <w:top w:val="single" w:sz="6" w:space="0" w:color="000000"/>
              <w:left w:val="single" w:sz="6" w:space="0" w:color="000000"/>
              <w:bottom w:val="single" w:sz="6" w:space="0" w:color="000000"/>
              <w:right w:val="single" w:sz="6" w:space="0" w:color="000000"/>
            </w:tcBorders>
            <w:shd w:val="clear" w:color="auto" w:fill="D6E3BC"/>
            <w:hideMark/>
          </w:tcPr>
          <w:p w:rsidR="00000052" w:rsidRPr="00B47F47" w:rsidRDefault="00000052" w:rsidP="00000052">
            <w:pPr>
              <w:pStyle w:val="Texto"/>
              <w:ind w:firstLine="0"/>
              <w:jc w:val="left"/>
              <w:rPr>
                <w:b/>
              </w:rPr>
            </w:pPr>
            <w:r w:rsidRPr="00B47F47">
              <w:rPr>
                <w:b/>
              </w:rPr>
              <w:lastRenderedPageBreak/>
              <w:t>Fuente</w:t>
            </w:r>
          </w:p>
        </w:tc>
        <w:tc>
          <w:tcPr>
            <w:tcW w:w="5908" w:type="dxa"/>
            <w:gridSpan w:val="2"/>
            <w:tcBorders>
              <w:top w:val="single" w:sz="6" w:space="0" w:color="000000"/>
              <w:left w:val="single" w:sz="6" w:space="0" w:color="000000"/>
              <w:bottom w:val="single" w:sz="6" w:space="0" w:color="000000"/>
              <w:right w:val="single" w:sz="6" w:space="0" w:color="000000"/>
            </w:tcBorders>
          </w:tcPr>
          <w:p w:rsidR="00000052" w:rsidRPr="00060B25" w:rsidRDefault="00000052" w:rsidP="00000052">
            <w:pPr>
              <w:pStyle w:val="Texto"/>
              <w:ind w:firstLine="0"/>
              <w:jc w:val="left"/>
              <w:rPr>
                <w:szCs w:val="18"/>
              </w:rPr>
            </w:pPr>
            <w:r w:rsidRPr="00B47F47">
              <w:rPr>
                <w:szCs w:val="18"/>
              </w:rPr>
              <w:t>Financiera Nacional de Desarrollo Agropecuario, Rural, Forestal y Pesquero.</w:t>
            </w:r>
          </w:p>
        </w:tc>
      </w:tr>
      <w:tr w:rsidR="00000052" w:rsidRPr="003141BE" w:rsidTr="00000052">
        <w:trPr>
          <w:cantSplit/>
          <w:trHeight w:val="176"/>
        </w:trPr>
        <w:tc>
          <w:tcPr>
            <w:tcW w:w="2126" w:type="dxa"/>
            <w:tcBorders>
              <w:top w:val="single" w:sz="6" w:space="0" w:color="000000"/>
              <w:left w:val="single" w:sz="6" w:space="0" w:color="000000"/>
              <w:bottom w:val="single" w:sz="6" w:space="0" w:color="000000"/>
              <w:right w:val="single" w:sz="6" w:space="0" w:color="000000"/>
            </w:tcBorders>
            <w:shd w:val="clear" w:color="auto" w:fill="D6E3BC"/>
            <w:hideMark/>
          </w:tcPr>
          <w:p w:rsidR="00000052" w:rsidRPr="00B47F47" w:rsidRDefault="00000052" w:rsidP="00000052">
            <w:pPr>
              <w:pStyle w:val="Texto"/>
              <w:ind w:firstLine="0"/>
              <w:jc w:val="left"/>
              <w:rPr>
                <w:b/>
              </w:rPr>
            </w:pPr>
            <w:r w:rsidRPr="00B47F47">
              <w:rPr>
                <w:b/>
              </w:rPr>
              <w:t>Referencias adicionales</w:t>
            </w:r>
          </w:p>
        </w:tc>
        <w:tc>
          <w:tcPr>
            <w:tcW w:w="5908" w:type="dxa"/>
            <w:gridSpan w:val="2"/>
            <w:tcBorders>
              <w:top w:val="single" w:sz="6" w:space="0" w:color="000000"/>
              <w:left w:val="single" w:sz="6" w:space="0" w:color="000000"/>
              <w:bottom w:val="single" w:sz="6" w:space="0" w:color="000000"/>
              <w:right w:val="single" w:sz="6" w:space="0" w:color="000000"/>
            </w:tcBorders>
          </w:tcPr>
          <w:p w:rsidR="00000052" w:rsidRPr="00060B25" w:rsidRDefault="00000052" w:rsidP="00000052">
            <w:pPr>
              <w:pStyle w:val="Texto"/>
              <w:ind w:firstLine="0"/>
              <w:jc w:val="left"/>
              <w:rPr>
                <w:szCs w:val="18"/>
              </w:rPr>
            </w:pPr>
            <w:r w:rsidRPr="00060B25">
              <w:rPr>
                <w:szCs w:val="18"/>
              </w:rPr>
              <w:t>Financiera Nacional de Desarrollo Agropecuario, Rural, Forestal y Pesquero.</w:t>
            </w:r>
          </w:p>
        </w:tc>
      </w:tr>
      <w:tr w:rsidR="00000052" w:rsidRPr="00B47F47" w:rsidTr="00000052">
        <w:trPr>
          <w:cantSplit/>
          <w:trHeight w:val="108"/>
        </w:trPr>
        <w:tc>
          <w:tcPr>
            <w:tcW w:w="4110" w:type="dxa"/>
            <w:gridSpan w:val="2"/>
            <w:tcBorders>
              <w:top w:val="single" w:sz="6" w:space="0" w:color="000000"/>
              <w:left w:val="single" w:sz="6" w:space="0" w:color="000000"/>
              <w:bottom w:val="single" w:sz="6" w:space="0" w:color="000000"/>
              <w:right w:val="single" w:sz="6" w:space="0" w:color="000000"/>
            </w:tcBorders>
            <w:shd w:val="clear" w:color="auto" w:fill="D6E3BC"/>
            <w:hideMark/>
          </w:tcPr>
          <w:p w:rsidR="00000052" w:rsidRPr="00060B25" w:rsidRDefault="00000052" w:rsidP="00000052">
            <w:pPr>
              <w:pStyle w:val="Texto"/>
              <w:ind w:firstLine="0"/>
              <w:jc w:val="center"/>
              <w:rPr>
                <w:b/>
              </w:rPr>
            </w:pPr>
            <w:r w:rsidRPr="00060B25">
              <w:rPr>
                <w:b/>
              </w:rPr>
              <w:t>Línea base 2013</w:t>
            </w:r>
          </w:p>
        </w:tc>
        <w:tc>
          <w:tcPr>
            <w:tcW w:w="3924" w:type="dxa"/>
            <w:tcBorders>
              <w:top w:val="single" w:sz="6" w:space="0" w:color="000000"/>
              <w:left w:val="single" w:sz="6" w:space="0" w:color="000000"/>
              <w:bottom w:val="single" w:sz="6" w:space="0" w:color="000000"/>
              <w:right w:val="single" w:sz="6" w:space="0" w:color="000000"/>
            </w:tcBorders>
            <w:shd w:val="clear" w:color="auto" w:fill="D6E3BC"/>
            <w:hideMark/>
          </w:tcPr>
          <w:p w:rsidR="00000052" w:rsidRPr="00060B25" w:rsidRDefault="00000052" w:rsidP="00000052">
            <w:pPr>
              <w:pStyle w:val="Texto"/>
              <w:ind w:firstLine="0"/>
              <w:jc w:val="center"/>
              <w:rPr>
                <w:b/>
              </w:rPr>
            </w:pPr>
            <w:r w:rsidRPr="00060B25">
              <w:rPr>
                <w:b/>
              </w:rPr>
              <w:t>Meta 2018</w:t>
            </w:r>
          </w:p>
        </w:tc>
      </w:tr>
      <w:tr w:rsidR="00000052" w:rsidRPr="003141BE" w:rsidTr="00000052">
        <w:trPr>
          <w:cantSplit/>
          <w:trHeight w:val="182"/>
        </w:trPr>
        <w:tc>
          <w:tcPr>
            <w:tcW w:w="4110" w:type="dxa"/>
            <w:gridSpan w:val="2"/>
            <w:tcBorders>
              <w:top w:val="single" w:sz="6" w:space="0" w:color="000000"/>
              <w:left w:val="single" w:sz="6" w:space="0" w:color="000000"/>
              <w:bottom w:val="single" w:sz="6" w:space="0" w:color="000000"/>
              <w:right w:val="single" w:sz="6" w:space="0" w:color="000000"/>
            </w:tcBorders>
          </w:tcPr>
          <w:p w:rsidR="00000052" w:rsidRPr="00060B25" w:rsidRDefault="00000052" w:rsidP="00000052">
            <w:pPr>
              <w:ind w:firstLine="0"/>
              <w:jc w:val="center"/>
              <w:rPr>
                <w:vertAlign w:val="superscript"/>
              </w:rPr>
            </w:pPr>
            <w:r w:rsidRPr="00060B25">
              <w:t>100%</w:t>
            </w:r>
          </w:p>
        </w:tc>
        <w:tc>
          <w:tcPr>
            <w:tcW w:w="3924" w:type="dxa"/>
            <w:tcBorders>
              <w:top w:val="single" w:sz="6" w:space="0" w:color="000000"/>
              <w:left w:val="single" w:sz="6" w:space="0" w:color="000000"/>
              <w:bottom w:val="single" w:sz="6" w:space="0" w:color="000000"/>
              <w:right w:val="single" w:sz="6" w:space="0" w:color="000000"/>
            </w:tcBorders>
          </w:tcPr>
          <w:p w:rsidR="00000052" w:rsidRPr="00060B25" w:rsidRDefault="00000052" w:rsidP="003B2700">
            <w:pPr>
              <w:tabs>
                <w:tab w:val="left" w:pos="1601"/>
                <w:tab w:val="center" w:pos="1854"/>
              </w:tabs>
              <w:ind w:firstLine="0"/>
              <w:jc w:val="center"/>
            </w:pPr>
            <w:r w:rsidRPr="00060B25">
              <w:t>200%</w:t>
            </w:r>
          </w:p>
        </w:tc>
      </w:tr>
    </w:tbl>
    <w:p w:rsidR="00000052" w:rsidRDefault="00000052" w:rsidP="00000052">
      <w:pPr>
        <w:rPr>
          <w:b/>
        </w:rPr>
      </w:pPr>
    </w:p>
    <w:p w:rsidR="00000052" w:rsidRPr="00E87D2B" w:rsidRDefault="00000052" w:rsidP="00000052">
      <w:pPr>
        <w:rPr>
          <w:b/>
        </w:rPr>
      </w:pPr>
    </w:p>
    <w:p w:rsidR="00000052" w:rsidRDefault="00000052" w:rsidP="00000052">
      <w:pPr>
        <w:spacing w:line="240" w:lineRule="auto"/>
        <w:ind w:left="426" w:firstLine="0"/>
        <w:jc w:val="left"/>
        <w:rPr>
          <w:b/>
        </w:rPr>
      </w:pPr>
      <w:r w:rsidRPr="004A5575">
        <w:rPr>
          <w:b/>
        </w:rPr>
        <w:t xml:space="preserve">Objetivo 4. </w:t>
      </w:r>
      <w:r>
        <w:rPr>
          <w:b/>
        </w:rPr>
        <w:t xml:space="preserve">Desarrollar y fortalecer Intermediarios Financieros Rurales para lograr una cobertura nacional. </w:t>
      </w:r>
      <w:r w:rsidRPr="0040105D">
        <w:rPr>
          <w:b/>
        </w:rPr>
        <w:t xml:space="preserve"> </w:t>
      </w:r>
    </w:p>
    <w:p w:rsidR="00000052" w:rsidRDefault="00000052" w:rsidP="00000052">
      <w:pPr>
        <w:spacing w:line="240" w:lineRule="auto"/>
        <w:ind w:firstLine="0"/>
        <w:jc w:val="left"/>
        <w:rPr>
          <w:b/>
        </w:rPr>
      </w:pPr>
    </w:p>
    <w:tbl>
      <w:tblPr>
        <w:tblW w:w="8034" w:type="dxa"/>
        <w:tblInd w:w="534" w:type="dxa"/>
        <w:tblLayout w:type="fixed"/>
        <w:tblLook w:val="04A0" w:firstRow="1" w:lastRow="0" w:firstColumn="1" w:lastColumn="0" w:noHBand="0" w:noVBand="1"/>
      </w:tblPr>
      <w:tblGrid>
        <w:gridCol w:w="2126"/>
        <w:gridCol w:w="1984"/>
        <w:gridCol w:w="3924"/>
      </w:tblGrid>
      <w:tr w:rsidR="00000052" w:rsidRPr="003141BE" w:rsidTr="00000052">
        <w:trPr>
          <w:cantSplit/>
          <w:trHeight w:val="206"/>
        </w:trPr>
        <w:tc>
          <w:tcPr>
            <w:tcW w:w="2126" w:type="dxa"/>
            <w:tcBorders>
              <w:top w:val="single" w:sz="6" w:space="0" w:color="000000"/>
              <w:left w:val="single" w:sz="6" w:space="0" w:color="000000"/>
              <w:bottom w:val="single" w:sz="6" w:space="0" w:color="000000"/>
              <w:right w:val="single" w:sz="6" w:space="0" w:color="000000"/>
            </w:tcBorders>
            <w:shd w:val="clear" w:color="auto" w:fill="D6E3BC"/>
            <w:hideMark/>
          </w:tcPr>
          <w:p w:rsidR="00000052" w:rsidRPr="00C21A75" w:rsidRDefault="00000052" w:rsidP="00000052">
            <w:pPr>
              <w:pStyle w:val="Texto"/>
              <w:ind w:firstLine="0"/>
              <w:jc w:val="left"/>
              <w:rPr>
                <w:b/>
              </w:rPr>
            </w:pPr>
            <w:r w:rsidRPr="00C21A75">
              <w:rPr>
                <w:b/>
              </w:rPr>
              <w:t>Indicador</w:t>
            </w:r>
          </w:p>
        </w:tc>
        <w:tc>
          <w:tcPr>
            <w:tcW w:w="5908" w:type="dxa"/>
            <w:gridSpan w:val="2"/>
            <w:tcBorders>
              <w:top w:val="single" w:sz="6" w:space="0" w:color="000000"/>
              <w:left w:val="single" w:sz="6" w:space="0" w:color="000000"/>
              <w:bottom w:val="single" w:sz="6" w:space="0" w:color="000000"/>
              <w:right w:val="single" w:sz="6" w:space="0" w:color="000000"/>
            </w:tcBorders>
          </w:tcPr>
          <w:p w:rsidR="00000052" w:rsidRPr="00C21A75" w:rsidRDefault="00000052" w:rsidP="00000052">
            <w:pPr>
              <w:pStyle w:val="Texto"/>
              <w:ind w:firstLine="0"/>
            </w:pPr>
            <w:r w:rsidRPr="00C21A75">
              <w:t>Intermediarios Financieros Rurales con saldo de crédito al cierre del ejercicio.</w:t>
            </w:r>
          </w:p>
        </w:tc>
      </w:tr>
      <w:tr w:rsidR="00000052" w:rsidRPr="003141BE" w:rsidTr="00000052">
        <w:trPr>
          <w:cantSplit/>
          <w:trHeight w:val="124"/>
        </w:trPr>
        <w:tc>
          <w:tcPr>
            <w:tcW w:w="2126" w:type="dxa"/>
            <w:tcBorders>
              <w:top w:val="single" w:sz="6" w:space="0" w:color="000000"/>
              <w:left w:val="single" w:sz="6" w:space="0" w:color="000000"/>
              <w:bottom w:val="single" w:sz="6" w:space="0" w:color="000000"/>
              <w:right w:val="single" w:sz="6" w:space="0" w:color="000000"/>
            </w:tcBorders>
            <w:shd w:val="clear" w:color="auto" w:fill="D6E3BC"/>
            <w:hideMark/>
          </w:tcPr>
          <w:p w:rsidR="00000052" w:rsidRPr="00C21A75" w:rsidRDefault="00000052" w:rsidP="00000052">
            <w:pPr>
              <w:pStyle w:val="Texto"/>
              <w:ind w:firstLine="0"/>
              <w:jc w:val="left"/>
              <w:rPr>
                <w:b/>
              </w:rPr>
            </w:pPr>
            <w:r w:rsidRPr="00C21A75">
              <w:rPr>
                <w:b/>
              </w:rPr>
              <w:t>Descripción general</w:t>
            </w:r>
          </w:p>
        </w:tc>
        <w:tc>
          <w:tcPr>
            <w:tcW w:w="5908" w:type="dxa"/>
            <w:gridSpan w:val="2"/>
            <w:tcBorders>
              <w:top w:val="single" w:sz="6" w:space="0" w:color="000000"/>
              <w:left w:val="single" w:sz="6" w:space="0" w:color="000000"/>
              <w:bottom w:val="single" w:sz="6" w:space="0" w:color="000000"/>
              <w:right w:val="single" w:sz="6" w:space="0" w:color="000000"/>
            </w:tcBorders>
            <w:hideMark/>
          </w:tcPr>
          <w:p w:rsidR="00000052" w:rsidRPr="00C21A75" w:rsidRDefault="00000052" w:rsidP="00000052">
            <w:pPr>
              <w:pStyle w:val="Texto"/>
              <w:ind w:firstLine="0"/>
            </w:pPr>
            <w:r w:rsidRPr="00C21A75">
              <w:t>Este indicador mide el grado de desarro</w:t>
            </w:r>
            <w:r>
              <w:t xml:space="preserve">llo financiero a través de los </w:t>
            </w:r>
            <w:r w:rsidRPr="00C21A75">
              <w:t>Intermediarios Financieros Rurales.</w:t>
            </w:r>
          </w:p>
        </w:tc>
      </w:tr>
      <w:tr w:rsidR="00000052" w:rsidRPr="003141BE" w:rsidTr="00000052">
        <w:trPr>
          <w:cantSplit/>
          <w:trHeight w:val="183"/>
        </w:trPr>
        <w:tc>
          <w:tcPr>
            <w:tcW w:w="2126" w:type="dxa"/>
            <w:tcBorders>
              <w:top w:val="single" w:sz="6" w:space="0" w:color="000000"/>
              <w:left w:val="single" w:sz="6" w:space="0" w:color="000000"/>
              <w:bottom w:val="single" w:sz="6" w:space="0" w:color="000000"/>
              <w:right w:val="single" w:sz="6" w:space="0" w:color="000000"/>
            </w:tcBorders>
            <w:shd w:val="clear" w:color="auto" w:fill="D6E3BC"/>
            <w:hideMark/>
          </w:tcPr>
          <w:p w:rsidR="00000052" w:rsidRPr="00C21A75" w:rsidRDefault="00000052" w:rsidP="00000052">
            <w:pPr>
              <w:pStyle w:val="Texto"/>
              <w:ind w:firstLine="0"/>
              <w:jc w:val="left"/>
              <w:rPr>
                <w:b/>
              </w:rPr>
            </w:pPr>
            <w:r w:rsidRPr="00C21A75">
              <w:rPr>
                <w:b/>
              </w:rPr>
              <w:t>Observaciones</w:t>
            </w:r>
          </w:p>
        </w:tc>
        <w:tc>
          <w:tcPr>
            <w:tcW w:w="5908" w:type="dxa"/>
            <w:gridSpan w:val="2"/>
            <w:tcBorders>
              <w:top w:val="single" w:sz="6" w:space="0" w:color="000000"/>
              <w:left w:val="single" w:sz="6" w:space="0" w:color="000000"/>
              <w:bottom w:val="single" w:sz="6" w:space="0" w:color="000000"/>
              <w:right w:val="single" w:sz="6" w:space="0" w:color="000000"/>
            </w:tcBorders>
            <w:hideMark/>
          </w:tcPr>
          <w:p w:rsidR="00000052" w:rsidRPr="00C21A75" w:rsidRDefault="00000052" w:rsidP="00000052">
            <w:pPr>
              <w:pStyle w:val="Texto"/>
              <w:ind w:firstLine="0"/>
            </w:pPr>
            <w:r w:rsidRPr="00C21A75">
              <w:t>Número de Intermediarios Financieros Rurales con saldo de crédito al cierre de cada ejercicio.</w:t>
            </w:r>
          </w:p>
        </w:tc>
      </w:tr>
      <w:tr w:rsidR="00000052" w:rsidRPr="003141BE" w:rsidTr="00000052">
        <w:trPr>
          <w:cantSplit/>
          <w:trHeight w:val="116"/>
        </w:trPr>
        <w:tc>
          <w:tcPr>
            <w:tcW w:w="2126" w:type="dxa"/>
            <w:tcBorders>
              <w:top w:val="single" w:sz="6" w:space="0" w:color="000000"/>
              <w:left w:val="single" w:sz="6" w:space="0" w:color="000000"/>
              <w:bottom w:val="single" w:sz="6" w:space="0" w:color="000000"/>
              <w:right w:val="single" w:sz="6" w:space="0" w:color="000000"/>
            </w:tcBorders>
            <w:shd w:val="clear" w:color="auto" w:fill="D6E3BC"/>
            <w:hideMark/>
          </w:tcPr>
          <w:p w:rsidR="00000052" w:rsidRPr="003471FC" w:rsidRDefault="00000052" w:rsidP="00000052">
            <w:pPr>
              <w:pStyle w:val="Texto"/>
              <w:ind w:firstLine="0"/>
              <w:jc w:val="left"/>
            </w:pPr>
            <w:r w:rsidRPr="00C21A75">
              <w:rPr>
                <w:b/>
              </w:rPr>
              <w:t>Periodicidad</w:t>
            </w:r>
          </w:p>
        </w:tc>
        <w:tc>
          <w:tcPr>
            <w:tcW w:w="5908" w:type="dxa"/>
            <w:gridSpan w:val="2"/>
            <w:tcBorders>
              <w:top w:val="single" w:sz="6" w:space="0" w:color="000000"/>
              <w:left w:val="single" w:sz="6" w:space="0" w:color="000000"/>
              <w:bottom w:val="single" w:sz="6" w:space="0" w:color="000000"/>
              <w:right w:val="single" w:sz="6" w:space="0" w:color="000000"/>
            </w:tcBorders>
            <w:hideMark/>
          </w:tcPr>
          <w:p w:rsidR="00000052" w:rsidRPr="00C21A75" w:rsidRDefault="00000052" w:rsidP="00000052">
            <w:pPr>
              <w:pStyle w:val="Texto"/>
              <w:ind w:firstLine="0"/>
              <w:rPr>
                <w:szCs w:val="18"/>
              </w:rPr>
            </w:pPr>
            <w:r w:rsidRPr="00C21A75">
              <w:rPr>
                <w:szCs w:val="18"/>
              </w:rPr>
              <w:t>Anual.</w:t>
            </w:r>
          </w:p>
        </w:tc>
      </w:tr>
      <w:tr w:rsidR="00000052" w:rsidRPr="003141BE" w:rsidTr="00000052">
        <w:trPr>
          <w:cantSplit/>
          <w:trHeight w:val="176"/>
        </w:trPr>
        <w:tc>
          <w:tcPr>
            <w:tcW w:w="2126" w:type="dxa"/>
            <w:tcBorders>
              <w:top w:val="single" w:sz="6" w:space="0" w:color="000000"/>
              <w:left w:val="single" w:sz="6" w:space="0" w:color="000000"/>
              <w:bottom w:val="single" w:sz="6" w:space="0" w:color="000000"/>
              <w:right w:val="single" w:sz="6" w:space="0" w:color="000000"/>
            </w:tcBorders>
            <w:shd w:val="clear" w:color="auto" w:fill="D6E3BC"/>
            <w:hideMark/>
          </w:tcPr>
          <w:p w:rsidR="00000052" w:rsidRPr="003471FC" w:rsidRDefault="00000052" w:rsidP="00000052">
            <w:pPr>
              <w:pStyle w:val="Texto"/>
              <w:ind w:firstLine="0"/>
              <w:jc w:val="left"/>
            </w:pPr>
            <w:r w:rsidRPr="00C21A75">
              <w:rPr>
                <w:b/>
              </w:rPr>
              <w:t>Fuente</w:t>
            </w:r>
          </w:p>
        </w:tc>
        <w:tc>
          <w:tcPr>
            <w:tcW w:w="5908" w:type="dxa"/>
            <w:gridSpan w:val="2"/>
            <w:tcBorders>
              <w:top w:val="single" w:sz="6" w:space="0" w:color="000000"/>
              <w:left w:val="single" w:sz="6" w:space="0" w:color="000000"/>
              <w:bottom w:val="single" w:sz="6" w:space="0" w:color="000000"/>
              <w:right w:val="single" w:sz="6" w:space="0" w:color="000000"/>
            </w:tcBorders>
          </w:tcPr>
          <w:p w:rsidR="00000052" w:rsidRPr="00C21A75" w:rsidRDefault="00000052" w:rsidP="00000052">
            <w:pPr>
              <w:pStyle w:val="Texto"/>
              <w:ind w:firstLine="0"/>
              <w:rPr>
                <w:szCs w:val="18"/>
              </w:rPr>
            </w:pPr>
            <w:r w:rsidRPr="00B47F47">
              <w:rPr>
                <w:szCs w:val="18"/>
              </w:rPr>
              <w:t>Financiera Nacional de Desarrollo Agropecuario, Rural, Forestal y Pesquero.</w:t>
            </w:r>
          </w:p>
        </w:tc>
      </w:tr>
      <w:tr w:rsidR="00000052" w:rsidRPr="003141BE" w:rsidTr="00000052">
        <w:trPr>
          <w:cantSplit/>
          <w:trHeight w:val="176"/>
        </w:trPr>
        <w:tc>
          <w:tcPr>
            <w:tcW w:w="2126" w:type="dxa"/>
            <w:tcBorders>
              <w:top w:val="single" w:sz="6" w:space="0" w:color="000000"/>
              <w:left w:val="single" w:sz="6" w:space="0" w:color="000000"/>
              <w:bottom w:val="single" w:sz="6" w:space="0" w:color="000000"/>
              <w:right w:val="single" w:sz="6" w:space="0" w:color="000000"/>
            </w:tcBorders>
            <w:shd w:val="clear" w:color="auto" w:fill="D6E3BC"/>
            <w:hideMark/>
          </w:tcPr>
          <w:p w:rsidR="00000052" w:rsidRPr="003471FC" w:rsidRDefault="00000052" w:rsidP="00000052">
            <w:pPr>
              <w:pStyle w:val="Texto"/>
              <w:ind w:firstLine="0"/>
              <w:jc w:val="left"/>
            </w:pPr>
            <w:r w:rsidRPr="00C21A75">
              <w:rPr>
                <w:b/>
              </w:rPr>
              <w:t>Referencias adicionales</w:t>
            </w:r>
          </w:p>
        </w:tc>
        <w:tc>
          <w:tcPr>
            <w:tcW w:w="5908" w:type="dxa"/>
            <w:gridSpan w:val="2"/>
            <w:tcBorders>
              <w:top w:val="single" w:sz="6" w:space="0" w:color="000000"/>
              <w:left w:val="single" w:sz="6" w:space="0" w:color="000000"/>
              <w:bottom w:val="single" w:sz="6" w:space="0" w:color="000000"/>
              <w:right w:val="single" w:sz="6" w:space="0" w:color="000000"/>
            </w:tcBorders>
          </w:tcPr>
          <w:p w:rsidR="00000052" w:rsidRPr="00C21A75" w:rsidRDefault="00000052" w:rsidP="00000052">
            <w:pPr>
              <w:pStyle w:val="Texto"/>
              <w:ind w:firstLine="0"/>
              <w:rPr>
                <w:szCs w:val="18"/>
              </w:rPr>
            </w:pPr>
            <w:r>
              <w:rPr>
                <w:szCs w:val="18"/>
              </w:rPr>
              <w:t>Financiera Nacional de Desarrollo Agropecuario, Rural, Forestal y Pesquero.</w:t>
            </w:r>
          </w:p>
        </w:tc>
      </w:tr>
      <w:tr w:rsidR="00000052" w:rsidRPr="003141BE" w:rsidTr="00000052">
        <w:trPr>
          <w:cantSplit/>
          <w:trHeight w:val="108"/>
        </w:trPr>
        <w:tc>
          <w:tcPr>
            <w:tcW w:w="4110" w:type="dxa"/>
            <w:gridSpan w:val="2"/>
            <w:tcBorders>
              <w:top w:val="single" w:sz="6" w:space="0" w:color="000000"/>
              <w:left w:val="single" w:sz="6" w:space="0" w:color="000000"/>
              <w:bottom w:val="single" w:sz="6" w:space="0" w:color="000000"/>
              <w:right w:val="single" w:sz="6" w:space="0" w:color="000000"/>
            </w:tcBorders>
            <w:shd w:val="clear" w:color="auto" w:fill="D6E3BC"/>
            <w:hideMark/>
          </w:tcPr>
          <w:p w:rsidR="00000052" w:rsidRPr="00C21A75" w:rsidRDefault="00000052" w:rsidP="00000052">
            <w:pPr>
              <w:pStyle w:val="Texto"/>
              <w:ind w:firstLine="0"/>
              <w:jc w:val="center"/>
              <w:rPr>
                <w:b/>
              </w:rPr>
            </w:pPr>
            <w:r w:rsidRPr="00C21A75">
              <w:rPr>
                <w:b/>
              </w:rPr>
              <w:t>Línea base 2013</w:t>
            </w:r>
          </w:p>
        </w:tc>
        <w:tc>
          <w:tcPr>
            <w:tcW w:w="3924" w:type="dxa"/>
            <w:tcBorders>
              <w:top w:val="single" w:sz="6" w:space="0" w:color="000000"/>
              <w:left w:val="single" w:sz="6" w:space="0" w:color="000000"/>
              <w:bottom w:val="single" w:sz="6" w:space="0" w:color="000000"/>
              <w:right w:val="single" w:sz="6" w:space="0" w:color="000000"/>
            </w:tcBorders>
            <w:shd w:val="clear" w:color="auto" w:fill="D6E3BC"/>
            <w:hideMark/>
          </w:tcPr>
          <w:p w:rsidR="00000052" w:rsidRPr="00C21A75" w:rsidRDefault="00000052" w:rsidP="00000052">
            <w:pPr>
              <w:pStyle w:val="Texto"/>
              <w:ind w:firstLine="0"/>
              <w:jc w:val="center"/>
              <w:rPr>
                <w:b/>
              </w:rPr>
            </w:pPr>
            <w:r w:rsidRPr="00C21A75">
              <w:rPr>
                <w:b/>
              </w:rPr>
              <w:t>Meta 2018</w:t>
            </w:r>
          </w:p>
        </w:tc>
      </w:tr>
      <w:tr w:rsidR="003B2700" w:rsidRPr="003141BE" w:rsidTr="00000052">
        <w:trPr>
          <w:cantSplit/>
          <w:trHeight w:val="182"/>
        </w:trPr>
        <w:tc>
          <w:tcPr>
            <w:tcW w:w="4110" w:type="dxa"/>
            <w:gridSpan w:val="2"/>
            <w:tcBorders>
              <w:top w:val="single" w:sz="6" w:space="0" w:color="000000"/>
              <w:left w:val="single" w:sz="6" w:space="0" w:color="000000"/>
              <w:bottom w:val="single" w:sz="6" w:space="0" w:color="000000"/>
              <w:right w:val="single" w:sz="6" w:space="0" w:color="000000"/>
            </w:tcBorders>
          </w:tcPr>
          <w:p w:rsidR="003B2700" w:rsidRPr="00AB37F0" w:rsidRDefault="003B2700" w:rsidP="00000052">
            <w:pPr>
              <w:pStyle w:val="Texto"/>
              <w:jc w:val="center"/>
              <w:rPr>
                <w:szCs w:val="18"/>
                <w:highlight w:val="yellow"/>
              </w:rPr>
            </w:pPr>
            <w:r w:rsidRPr="00060B25">
              <w:t>100%</w:t>
            </w:r>
          </w:p>
        </w:tc>
        <w:tc>
          <w:tcPr>
            <w:tcW w:w="3924" w:type="dxa"/>
            <w:tcBorders>
              <w:top w:val="single" w:sz="6" w:space="0" w:color="000000"/>
              <w:left w:val="single" w:sz="6" w:space="0" w:color="000000"/>
              <w:bottom w:val="single" w:sz="6" w:space="0" w:color="000000"/>
              <w:right w:val="single" w:sz="6" w:space="0" w:color="000000"/>
            </w:tcBorders>
          </w:tcPr>
          <w:p w:rsidR="003B2700" w:rsidRPr="00AB37F0" w:rsidRDefault="003B2700" w:rsidP="00000052">
            <w:pPr>
              <w:pStyle w:val="Texto"/>
              <w:jc w:val="center"/>
              <w:rPr>
                <w:szCs w:val="18"/>
                <w:highlight w:val="yellow"/>
              </w:rPr>
            </w:pPr>
            <w:r w:rsidRPr="00060B25">
              <w:t>200%</w:t>
            </w:r>
          </w:p>
        </w:tc>
      </w:tr>
    </w:tbl>
    <w:p w:rsidR="00000052" w:rsidRDefault="00000052" w:rsidP="00000052">
      <w:pPr>
        <w:rPr>
          <w:b/>
        </w:rPr>
      </w:pPr>
    </w:p>
    <w:p w:rsidR="00000052" w:rsidRPr="00E87D2B" w:rsidRDefault="00000052" w:rsidP="00000052">
      <w:pPr>
        <w:rPr>
          <w:b/>
        </w:rPr>
      </w:pPr>
    </w:p>
    <w:p w:rsidR="00000052" w:rsidRDefault="00000052" w:rsidP="00000052">
      <w:pPr>
        <w:rPr>
          <w:b/>
        </w:rPr>
      </w:pPr>
      <w:r w:rsidRPr="00B7583B">
        <w:rPr>
          <w:b/>
        </w:rPr>
        <w:t>Objetivo 5. Incrementar la cobertura de servicios de la Institución.</w:t>
      </w:r>
    </w:p>
    <w:p w:rsidR="00000052" w:rsidRPr="00E87D2B" w:rsidRDefault="00000052" w:rsidP="00000052">
      <w:pPr>
        <w:rPr>
          <w:b/>
        </w:rPr>
      </w:pPr>
    </w:p>
    <w:tbl>
      <w:tblPr>
        <w:tblW w:w="8034" w:type="dxa"/>
        <w:tblInd w:w="534" w:type="dxa"/>
        <w:tblLayout w:type="fixed"/>
        <w:tblLook w:val="04A0" w:firstRow="1" w:lastRow="0" w:firstColumn="1" w:lastColumn="0" w:noHBand="0" w:noVBand="1"/>
      </w:tblPr>
      <w:tblGrid>
        <w:gridCol w:w="2126"/>
        <w:gridCol w:w="1984"/>
        <w:gridCol w:w="3924"/>
      </w:tblGrid>
      <w:tr w:rsidR="00000052" w:rsidRPr="003141BE" w:rsidTr="00000052">
        <w:trPr>
          <w:cantSplit/>
          <w:trHeight w:val="206"/>
        </w:trPr>
        <w:tc>
          <w:tcPr>
            <w:tcW w:w="2126" w:type="dxa"/>
            <w:tcBorders>
              <w:top w:val="single" w:sz="6" w:space="0" w:color="000000"/>
              <w:left w:val="single" w:sz="6" w:space="0" w:color="000000"/>
              <w:bottom w:val="single" w:sz="6" w:space="0" w:color="000000"/>
              <w:right w:val="single" w:sz="6" w:space="0" w:color="000000"/>
            </w:tcBorders>
            <w:shd w:val="clear" w:color="auto" w:fill="D6E3BC"/>
            <w:hideMark/>
          </w:tcPr>
          <w:p w:rsidR="00000052" w:rsidRPr="00B47F47" w:rsidRDefault="00000052" w:rsidP="00000052">
            <w:pPr>
              <w:pStyle w:val="Texto"/>
              <w:ind w:firstLine="0"/>
              <w:jc w:val="left"/>
              <w:rPr>
                <w:b/>
              </w:rPr>
            </w:pPr>
            <w:r w:rsidRPr="00B47F47">
              <w:rPr>
                <w:b/>
              </w:rPr>
              <w:t>Indicador</w:t>
            </w:r>
          </w:p>
        </w:tc>
        <w:tc>
          <w:tcPr>
            <w:tcW w:w="5908" w:type="dxa"/>
            <w:gridSpan w:val="2"/>
            <w:tcBorders>
              <w:top w:val="single" w:sz="6" w:space="0" w:color="000000"/>
              <w:left w:val="single" w:sz="6" w:space="0" w:color="000000"/>
              <w:bottom w:val="single" w:sz="6" w:space="0" w:color="000000"/>
              <w:right w:val="single" w:sz="6" w:space="0" w:color="000000"/>
            </w:tcBorders>
          </w:tcPr>
          <w:p w:rsidR="00000052" w:rsidRPr="00B47F47" w:rsidRDefault="00000052" w:rsidP="00000052">
            <w:pPr>
              <w:pStyle w:val="Texto"/>
              <w:ind w:firstLine="0"/>
              <w:rPr>
                <w:szCs w:val="18"/>
              </w:rPr>
            </w:pPr>
            <w:r w:rsidRPr="00B47F47">
              <w:rPr>
                <w:szCs w:val="18"/>
              </w:rPr>
              <w:t>Porcentaje de atención en municipios a través de créditos de la Financiera Nacional.</w:t>
            </w:r>
          </w:p>
        </w:tc>
      </w:tr>
      <w:tr w:rsidR="00000052" w:rsidRPr="003141BE" w:rsidTr="00000052">
        <w:trPr>
          <w:cantSplit/>
          <w:trHeight w:val="124"/>
        </w:trPr>
        <w:tc>
          <w:tcPr>
            <w:tcW w:w="2126" w:type="dxa"/>
            <w:tcBorders>
              <w:top w:val="single" w:sz="6" w:space="0" w:color="000000"/>
              <w:left w:val="single" w:sz="6" w:space="0" w:color="000000"/>
              <w:bottom w:val="single" w:sz="6" w:space="0" w:color="000000"/>
              <w:right w:val="single" w:sz="6" w:space="0" w:color="000000"/>
            </w:tcBorders>
            <w:shd w:val="clear" w:color="auto" w:fill="D6E3BC"/>
            <w:hideMark/>
          </w:tcPr>
          <w:p w:rsidR="00000052" w:rsidRPr="00B47F47" w:rsidRDefault="00000052" w:rsidP="00000052">
            <w:pPr>
              <w:pStyle w:val="Texto"/>
              <w:ind w:firstLine="0"/>
              <w:jc w:val="left"/>
              <w:rPr>
                <w:b/>
              </w:rPr>
            </w:pPr>
            <w:r w:rsidRPr="00B47F47">
              <w:rPr>
                <w:b/>
              </w:rPr>
              <w:t>Descripción general</w:t>
            </w:r>
          </w:p>
        </w:tc>
        <w:tc>
          <w:tcPr>
            <w:tcW w:w="5908" w:type="dxa"/>
            <w:gridSpan w:val="2"/>
            <w:tcBorders>
              <w:top w:val="single" w:sz="6" w:space="0" w:color="000000"/>
              <w:left w:val="single" w:sz="6" w:space="0" w:color="000000"/>
              <w:bottom w:val="single" w:sz="6" w:space="0" w:color="000000"/>
              <w:right w:val="single" w:sz="6" w:space="0" w:color="000000"/>
            </w:tcBorders>
            <w:hideMark/>
          </w:tcPr>
          <w:p w:rsidR="00000052" w:rsidRPr="00B47F47" w:rsidRDefault="00000052" w:rsidP="00000052">
            <w:pPr>
              <w:pStyle w:val="Texto"/>
              <w:ind w:firstLine="0"/>
              <w:rPr>
                <w:szCs w:val="18"/>
              </w:rPr>
            </w:pPr>
            <w:r w:rsidRPr="00B47F47">
              <w:rPr>
                <w:szCs w:val="18"/>
              </w:rPr>
              <w:t>Mide la relación de atención en municipios con créditos de la Financiera Nacional, entr</w:t>
            </w:r>
            <w:r>
              <w:rPr>
                <w:szCs w:val="18"/>
              </w:rPr>
              <w:t xml:space="preserve">e los </w:t>
            </w:r>
            <w:r w:rsidRPr="00B47F47">
              <w:rPr>
                <w:szCs w:val="18"/>
              </w:rPr>
              <w:t>municipios totales en el país.</w:t>
            </w:r>
          </w:p>
        </w:tc>
      </w:tr>
      <w:tr w:rsidR="00000052" w:rsidRPr="003141BE" w:rsidTr="00000052">
        <w:trPr>
          <w:cantSplit/>
          <w:trHeight w:val="183"/>
        </w:trPr>
        <w:tc>
          <w:tcPr>
            <w:tcW w:w="2126" w:type="dxa"/>
            <w:tcBorders>
              <w:top w:val="single" w:sz="6" w:space="0" w:color="000000"/>
              <w:left w:val="single" w:sz="6" w:space="0" w:color="000000"/>
              <w:bottom w:val="single" w:sz="6" w:space="0" w:color="000000"/>
              <w:right w:val="single" w:sz="6" w:space="0" w:color="000000"/>
            </w:tcBorders>
            <w:shd w:val="clear" w:color="auto" w:fill="D6E3BC"/>
            <w:hideMark/>
          </w:tcPr>
          <w:p w:rsidR="00000052" w:rsidRPr="00B47F47" w:rsidRDefault="00000052" w:rsidP="00000052">
            <w:pPr>
              <w:pStyle w:val="Texto"/>
              <w:ind w:firstLine="0"/>
              <w:jc w:val="left"/>
              <w:rPr>
                <w:b/>
              </w:rPr>
            </w:pPr>
            <w:r w:rsidRPr="00B47F47">
              <w:rPr>
                <w:b/>
              </w:rPr>
              <w:t>Observaciones</w:t>
            </w:r>
          </w:p>
        </w:tc>
        <w:tc>
          <w:tcPr>
            <w:tcW w:w="5908" w:type="dxa"/>
            <w:gridSpan w:val="2"/>
            <w:tcBorders>
              <w:top w:val="single" w:sz="6" w:space="0" w:color="000000"/>
              <w:left w:val="single" w:sz="6" w:space="0" w:color="000000"/>
              <w:bottom w:val="single" w:sz="6" w:space="0" w:color="000000"/>
              <w:right w:val="single" w:sz="6" w:space="0" w:color="000000"/>
            </w:tcBorders>
            <w:hideMark/>
          </w:tcPr>
          <w:p w:rsidR="00000052" w:rsidRPr="00B47F47" w:rsidRDefault="00000052" w:rsidP="00000052">
            <w:pPr>
              <w:pStyle w:val="Texto"/>
              <w:ind w:firstLine="0"/>
              <w:rPr>
                <w:szCs w:val="18"/>
              </w:rPr>
            </w:pPr>
            <w:r w:rsidRPr="00B47F47">
              <w:rPr>
                <w:szCs w:val="18"/>
              </w:rPr>
              <w:t>(Cantidad de municipios atendidos a través de créditos de la Financiera Nacional/Cantidad de municipios totales en el país) x 100</w:t>
            </w:r>
            <w:r>
              <w:rPr>
                <w:szCs w:val="18"/>
              </w:rPr>
              <w:t>.</w:t>
            </w:r>
          </w:p>
        </w:tc>
      </w:tr>
      <w:tr w:rsidR="00000052" w:rsidRPr="003141BE" w:rsidTr="00000052">
        <w:trPr>
          <w:cantSplit/>
          <w:trHeight w:val="116"/>
        </w:trPr>
        <w:tc>
          <w:tcPr>
            <w:tcW w:w="2126" w:type="dxa"/>
            <w:tcBorders>
              <w:top w:val="single" w:sz="6" w:space="0" w:color="000000"/>
              <w:left w:val="single" w:sz="6" w:space="0" w:color="000000"/>
              <w:bottom w:val="single" w:sz="6" w:space="0" w:color="000000"/>
              <w:right w:val="single" w:sz="6" w:space="0" w:color="000000"/>
            </w:tcBorders>
            <w:shd w:val="clear" w:color="auto" w:fill="D6E3BC"/>
            <w:hideMark/>
          </w:tcPr>
          <w:p w:rsidR="00000052" w:rsidRPr="00B47F47" w:rsidRDefault="00000052" w:rsidP="00000052">
            <w:pPr>
              <w:pStyle w:val="Texto"/>
              <w:ind w:firstLine="0"/>
              <w:jc w:val="left"/>
              <w:rPr>
                <w:b/>
              </w:rPr>
            </w:pPr>
            <w:r w:rsidRPr="00B47F47">
              <w:rPr>
                <w:b/>
              </w:rPr>
              <w:t>Periodicidad</w:t>
            </w:r>
          </w:p>
        </w:tc>
        <w:tc>
          <w:tcPr>
            <w:tcW w:w="5908" w:type="dxa"/>
            <w:gridSpan w:val="2"/>
            <w:tcBorders>
              <w:top w:val="single" w:sz="6" w:space="0" w:color="000000"/>
              <w:left w:val="single" w:sz="6" w:space="0" w:color="000000"/>
              <w:bottom w:val="single" w:sz="6" w:space="0" w:color="000000"/>
              <w:right w:val="single" w:sz="6" w:space="0" w:color="000000"/>
            </w:tcBorders>
            <w:hideMark/>
          </w:tcPr>
          <w:p w:rsidR="00000052" w:rsidRPr="00B47F47" w:rsidRDefault="00000052" w:rsidP="00000052">
            <w:pPr>
              <w:pStyle w:val="Texto"/>
              <w:ind w:firstLine="0"/>
              <w:rPr>
                <w:szCs w:val="18"/>
              </w:rPr>
            </w:pPr>
            <w:r w:rsidRPr="00B47F47">
              <w:rPr>
                <w:szCs w:val="18"/>
              </w:rPr>
              <w:t>Anual.</w:t>
            </w:r>
          </w:p>
        </w:tc>
      </w:tr>
      <w:tr w:rsidR="00000052" w:rsidRPr="003141BE" w:rsidTr="00000052">
        <w:trPr>
          <w:cantSplit/>
          <w:trHeight w:val="176"/>
        </w:trPr>
        <w:tc>
          <w:tcPr>
            <w:tcW w:w="2126" w:type="dxa"/>
            <w:tcBorders>
              <w:top w:val="single" w:sz="6" w:space="0" w:color="000000"/>
              <w:left w:val="single" w:sz="6" w:space="0" w:color="000000"/>
              <w:bottom w:val="single" w:sz="6" w:space="0" w:color="000000"/>
              <w:right w:val="single" w:sz="6" w:space="0" w:color="000000"/>
            </w:tcBorders>
            <w:shd w:val="clear" w:color="auto" w:fill="D6E3BC"/>
            <w:hideMark/>
          </w:tcPr>
          <w:p w:rsidR="00000052" w:rsidRPr="00B47F47" w:rsidRDefault="00000052" w:rsidP="00000052">
            <w:pPr>
              <w:pStyle w:val="Texto"/>
              <w:ind w:firstLine="0"/>
              <w:jc w:val="left"/>
              <w:rPr>
                <w:b/>
              </w:rPr>
            </w:pPr>
            <w:r w:rsidRPr="00B47F47">
              <w:rPr>
                <w:b/>
              </w:rPr>
              <w:t>Fuente:</w:t>
            </w:r>
          </w:p>
        </w:tc>
        <w:tc>
          <w:tcPr>
            <w:tcW w:w="5908" w:type="dxa"/>
            <w:gridSpan w:val="2"/>
            <w:tcBorders>
              <w:top w:val="single" w:sz="6" w:space="0" w:color="000000"/>
              <w:left w:val="single" w:sz="6" w:space="0" w:color="000000"/>
              <w:bottom w:val="single" w:sz="6" w:space="0" w:color="000000"/>
              <w:right w:val="single" w:sz="6" w:space="0" w:color="000000"/>
            </w:tcBorders>
          </w:tcPr>
          <w:p w:rsidR="00000052" w:rsidRPr="00B47F47" w:rsidRDefault="00000052" w:rsidP="00000052">
            <w:pPr>
              <w:pStyle w:val="Texto"/>
              <w:ind w:firstLine="0"/>
              <w:rPr>
                <w:szCs w:val="18"/>
              </w:rPr>
            </w:pPr>
            <w:r w:rsidRPr="00B47F47">
              <w:rPr>
                <w:szCs w:val="18"/>
              </w:rPr>
              <w:t>Financiera Nacional de Desarrollo Agropecuario, Rural, Forestal y Pesquero.</w:t>
            </w:r>
          </w:p>
        </w:tc>
      </w:tr>
      <w:tr w:rsidR="00000052" w:rsidRPr="003141BE" w:rsidTr="00000052">
        <w:trPr>
          <w:cantSplit/>
          <w:trHeight w:val="176"/>
        </w:trPr>
        <w:tc>
          <w:tcPr>
            <w:tcW w:w="2126" w:type="dxa"/>
            <w:tcBorders>
              <w:top w:val="single" w:sz="6" w:space="0" w:color="000000"/>
              <w:left w:val="single" w:sz="6" w:space="0" w:color="000000"/>
              <w:bottom w:val="single" w:sz="6" w:space="0" w:color="000000"/>
              <w:right w:val="single" w:sz="6" w:space="0" w:color="000000"/>
            </w:tcBorders>
            <w:shd w:val="clear" w:color="auto" w:fill="D6E3BC"/>
            <w:hideMark/>
          </w:tcPr>
          <w:p w:rsidR="00000052" w:rsidRPr="00B47F47" w:rsidRDefault="00000052" w:rsidP="00000052">
            <w:pPr>
              <w:pStyle w:val="Texto"/>
              <w:ind w:firstLine="0"/>
              <w:jc w:val="left"/>
              <w:rPr>
                <w:b/>
              </w:rPr>
            </w:pPr>
            <w:r w:rsidRPr="00B47F47">
              <w:rPr>
                <w:b/>
              </w:rPr>
              <w:t>Referencias adicionales</w:t>
            </w:r>
          </w:p>
        </w:tc>
        <w:tc>
          <w:tcPr>
            <w:tcW w:w="5908" w:type="dxa"/>
            <w:gridSpan w:val="2"/>
            <w:tcBorders>
              <w:top w:val="single" w:sz="6" w:space="0" w:color="000000"/>
              <w:left w:val="single" w:sz="6" w:space="0" w:color="000000"/>
              <w:bottom w:val="single" w:sz="6" w:space="0" w:color="000000"/>
              <w:right w:val="single" w:sz="6" w:space="0" w:color="000000"/>
            </w:tcBorders>
          </w:tcPr>
          <w:p w:rsidR="00000052" w:rsidRPr="00B47F47" w:rsidRDefault="00000052" w:rsidP="00000052">
            <w:pPr>
              <w:pStyle w:val="Texto"/>
              <w:ind w:firstLine="0"/>
              <w:rPr>
                <w:szCs w:val="18"/>
              </w:rPr>
            </w:pPr>
            <w:r w:rsidRPr="00B47F47">
              <w:rPr>
                <w:szCs w:val="18"/>
              </w:rPr>
              <w:t>Financiera Nacional de Desarrollo Agropecuario, Rural, Forestal y Pesquero.</w:t>
            </w:r>
          </w:p>
        </w:tc>
      </w:tr>
      <w:tr w:rsidR="00000052" w:rsidRPr="00B47F47" w:rsidTr="00000052">
        <w:trPr>
          <w:cantSplit/>
          <w:trHeight w:val="108"/>
        </w:trPr>
        <w:tc>
          <w:tcPr>
            <w:tcW w:w="4110" w:type="dxa"/>
            <w:gridSpan w:val="2"/>
            <w:tcBorders>
              <w:top w:val="single" w:sz="6" w:space="0" w:color="000000"/>
              <w:left w:val="single" w:sz="6" w:space="0" w:color="000000"/>
              <w:bottom w:val="single" w:sz="6" w:space="0" w:color="000000"/>
              <w:right w:val="single" w:sz="6" w:space="0" w:color="000000"/>
            </w:tcBorders>
            <w:shd w:val="clear" w:color="auto" w:fill="D6E3BC"/>
            <w:hideMark/>
          </w:tcPr>
          <w:p w:rsidR="00000052" w:rsidRPr="00B47F47" w:rsidRDefault="00000052" w:rsidP="00000052">
            <w:pPr>
              <w:pStyle w:val="Texto"/>
              <w:ind w:firstLine="0"/>
              <w:jc w:val="center"/>
              <w:rPr>
                <w:b/>
              </w:rPr>
            </w:pPr>
            <w:r w:rsidRPr="00B47F47">
              <w:rPr>
                <w:b/>
              </w:rPr>
              <w:t>Línea base 2013</w:t>
            </w:r>
          </w:p>
        </w:tc>
        <w:tc>
          <w:tcPr>
            <w:tcW w:w="3924" w:type="dxa"/>
            <w:tcBorders>
              <w:top w:val="single" w:sz="6" w:space="0" w:color="000000"/>
              <w:left w:val="single" w:sz="6" w:space="0" w:color="000000"/>
              <w:bottom w:val="single" w:sz="6" w:space="0" w:color="000000"/>
              <w:right w:val="single" w:sz="6" w:space="0" w:color="000000"/>
            </w:tcBorders>
            <w:shd w:val="clear" w:color="auto" w:fill="D6E3BC"/>
            <w:hideMark/>
          </w:tcPr>
          <w:p w:rsidR="00000052" w:rsidRPr="00B47F47" w:rsidRDefault="00000052" w:rsidP="00000052">
            <w:pPr>
              <w:pStyle w:val="Texto"/>
              <w:ind w:firstLine="0"/>
              <w:jc w:val="center"/>
              <w:rPr>
                <w:b/>
              </w:rPr>
            </w:pPr>
            <w:r w:rsidRPr="00B47F47">
              <w:rPr>
                <w:b/>
              </w:rPr>
              <w:t>Meta 2018</w:t>
            </w:r>
          </w:p>
        </w:tc>
      </w:tr>
      <w:tr w:rsidR="00000052" w:rsidRPr="003141BE" w:rsidTr="00000052">
        <w:trPr>
          <w:cantSplit/>
          <w:trHeight w:val="182"/>
        </w:trPr>
        <w:tc>
          <w:tcPr>
            <w:tcW w:w="4110" w:type="dxa"/>
            <w:gridSpan w:val="2"/>
            <w:tcBorders>
              <w:top w:val="single" w:sz="6" w:space="0" w:color="000000"/>
              <w:left w:val="single" w:sz="6" w:space="0" w:color="000000"/>
              <w:bottom w:val="single" w:sz="6" w:space="0" w:color="000000"/>
              <w:right w:val="single" w:sz="6" w:space="0" w:color="000000"/>
            </w:tcBorders>
          </w:tcPr>
          <w:p w:rsidR="00000052" w:rsidRPr="00C21A75" w:rsidRDefault="00000052" w:rsidP="00000052">
            <w:pPr>
              <w:pStyle w:val="Texto"/>
              <w:ind w:firstLine="0"/>
              <w:jc w:val="center"/>
              <w:rPr>
                <w:highlight w:val="yellow"/>
              </w:rPr>
            </w:pPr>
            <w:r w:rsidRPr="00C21A75">
              <w:t>77.9%</w:t>
            </w:r>
            <w:r w:rsidRPr="00B47F47">
              <w:rPr>
                <w:rStyle w:val="Refdenotaalpie"/>
              </w:rPr>
              <w:footnoteReference w:id="3"/>
            </w:r>
          </w:p>
        </w:tc>
        <w:tc>
          <w:tcPr>
            <w:tcW w:w="3924" w:type="dxa"/>
            <w:tcBorders>
              <w:top w:val="single" w:sz="6" w:space="0" w:color="000000"/>
              <w:left w:val="single" w:sz="6" w:space="0" w:color="000000"/>
              <w:bottom w:val="single" w:sz="6" w:space="0" w:color="000000"/>
              <w:right w:val="single" w:sz="6" w:space="0" w:color="000000"/>
            </w:tcBorders>
          </w:tcPr>
          <w:p w:rsidR="00000052" w:rsidRPr="00C21A75" w:rsidRDefault="00000052" w:rsidP="00000052">
            <w:pPr>
              <w:pStyle w:val="Texto"/>
              <w:ind w:firstLine="0"/>
              <w:jc w:val="center"/>
              <w:rPr>
                <w:highlight w:val="yellow"/>
              </w:rPr>
            </w:pPr>
            <w:r w:rsidRPr="00C21A75">
              <w:t>88%</w:t>
            </w:r>
          </w:p>
        </w:tc>
      </w:tr>
    </w:tbl>
    <w:p w:rsidR="00000052" w:rsidRDefault="00000052" w:rsidP="00000052">
      <w:pPr>
        <w:rPr>
          <w:b/>
        </w:rPr>
      </w:pPr>
    </w:p>
    <w:p w:rsidR="00000052" w:rsidRPr="00E87D2B" w:rsidRDefault="00000052" w:rsidP="00000052">
      <w:pPr>
        <w:rPr>
          <w:b/>
        </w:rPr>
      </w:pPr>
    </w:p>
    <w:p w:rsidR="00000052" w:rsidRDefault="00000052" w:rsidP="00000052">
      <w:pPr>
        <w:rPr>
          <w:b/>
        </w:rPr>
      </w:pPr>
      <w:r w:rsidRPr="0070465A">
        <w:rPr>
          <w:b/>
        </w:rPr>
        <w:t>Objetivo 6. Mantener la sustentabilidad de la Institución.</w:t>
      </w:r>
    </w:p>
    <w:p w:rsidR="00000052" w:rsidRPr="002D062A" w:rsidRDefault="00000052" w:rsidP="00000052"/>
    <w:tbl>
      <w:tblPr>
        <w:tblW w:w="8034" w:type="dxa"/>
        <w:tblInd w:w="534" w:type="dxa"/>
        <w:tblLayout w:type="fixed"/>
        <w:tblLook w:val="04A0" w:firstRow="1" w:lastRow="0" w:firstColumn="1" w:lastColumn="0" w:noHBand="0" w:noVBand="1"/>
      </w:tblPr>
      <w:tblGrid>
        <w:gridCol w:w="2126"/>
        <w:gridCol w:w="1984"/>
        <w:gridCol w:w="3924"/>
      </w:tblGrid>
      <w:tr w:rsidR="00000052" w:rsidRPr="003141BE" w:rsidTr="00000052">
        <w:trPr>
          <w:cantSplit/>
          <w:trHeight w:val="206"/>
        </w:trPr>
        <w:tc>
          <w:tcPr>
            <w:tcW w:w="2126" w:type="dxa"/>
            <w:tcBorders>
              <w:top w:val="single" w:sz="6" w:space="0" w:color="000000"/>
              <w:left w:val="single" w:sz="6" w:space="0" w:color="000000"/>
              <w:bottom w:val="single" w:sz="6" w:space="0" w:color="000000"/>
              <w:right w:val="single" w:sz="6" w:space="0" w:color="000000"/>
            </w:tcBorders>
            <w:shd w:val="clear" w:color="auto" w:fill="D6E3BC"/>
            <w:hideMark/>
          </w:tcPr>
          <w:p w:rsidR="00000052" w:rsidRPr="00B47F47" w:rsidRDefault="00000052" w:rsidP="00000052">
            <w:pPr>
              <w:pStyle w:val="Texto"/>
              <w:ind w:firstLine="0"/>
              <w:jc w:val="left"/>
              <w:rPr>
                <w:b/>
              </w:rPr>
            </w:pPr>
            <w:r w:rsidRPr="00B47F47">
              <w:rPr>
                <w:b/>
              </w:rPr>
              <w:lastRenderedPageBreak/>
              <w:t>Indicador</w:t>
            </w:r>
          </w:p>
        </w:tc>
        <w:tc>
          <w:tcPr>
            <w:tcW w:w="5908" w:type="dxa"/>
            <w:gridSpan w:val="2"/>
            <w:tcBorders>
              <w:top w:val="single" w:sz="6" w:space="0" w:color="000000"/>
              <w:left w:val="single" w:sz="6" w:space="0" w:color="000000"/>
              <w:bottom w:val="single" w:sz="6" w:space="0" w:color="000000"/>
              <w:right w:val="single" w:sz="6" w:space="0" w:color="000000"/>
            </w:tcBorders>
          </w:tcPr>
          <w:p w:rsidR="00000052" w:rsidRPr="00B47F47" w:rsidRDefault="00000052" w:rsidP="004B4BC2">
            <w:pPr>
              <w:pStyle w:val="Texto"/>
              <w:ind w:firstLine="0"/>
              <w:rPr>
                <w:szCs w:val="18"/>
              </w:rPr>
            </w:pPr>
            <w:r>
              <w:rPr>
                <w:szCs w:val="18"/>
              </w:rPr>
              <w:t xml:space="preserve">Mantener el patrimonio de la Institución en términos </w:t>
            </w:r>
            <w:r w:rsidR="004B4BC2">
              <w:rPr>
                <w:szCs w:val="18"/>
              </w:rPr>
              <w:t>reales</w:t>
            </w:r>
            <w:r>
              <w:rPr>
                <w:szCs w:val="18"/>
              </w:rPr>
              <w:t>.</w:t>
            </w:r>
          </w:p>
        </w:tc>
      </w:tr>
      <w:tr w:rsidR="00000052" w:rsidRPr="003141BE" w:rsidTr="00000052">
        <w:trPr>
          <w:cantSplit/>
          <w:trHeight w:val="124"/>
        </w:trPr>
        <w:tc>
          <w:tcPr>
            <w:tcW w:w="2126" w:type="dxa"/>
            <w:tcBorders>
              <w:top w:val="single" w:sz="6" w:space="0" w:color="000000"/>
              <w:left w:val="single" w:sz="6" w:space="0" w:color="000000"/>
              <w:bottom w:val="single" w:sz="6" w:space="0" w:color="000000"/>
              <w:right w:val="single" w:sz="6" w:space="0" w:color="000000"/>
            </w:tcBorders>
            <w:shd w:val="clear" w:color="auto" w:fill="D6E3BC"/>
            <w:hideMark/>
          </w:tcPr>
          <w:p w:rsidR="00000052" w:rsidRPr="00B47F47" w:rsidRDefault="00000052" w:rsidP="00000052">
            <w:pPr>
              <w:pStyle w:val="Texto"/>
              <w:ind w:firstLine="0"/>
              <w:jc w:val="left"/>
              <w:rPr>
                <w:b/>
              </w:rPr>
            </w:pPr>
            <w:r w:rsidRPr="00B47F47">
              <w:rPr>
                <w:b/>
              </w:rPr>
              <w:t>Descripción general</w:t>
            </w:r>
          </w:p>
        </w:tc>
        <w:tc>
          <w:tcPr>
            <w:tcW w:w="5908" w:type="dxa"/>
            <w:gridSpan w:val="2"/>
            <w:tcBorders>
              <w:top w:val="single" w:sz="6" w:space="0" w:color="000000"/>
              <w:left w:val="single" w:sz="6" w:space="0" w:color="000000"/>
              <w:bottom w:val="single" w:sz="6" w:space="0" w:color="000000"/>
              <w:right w:val="single" w:sz="6" w:space="0" w:color="000000"/>
            </w:tcBorders>
            <w:hideMark/>
          </w:tcPr>
          <w:p w:rsidR="00000052" w:rsidRPr="00B47F47" w:rsidRDefault="00000052" w:rsidP="00000052">
            <w:pPr>
              <w:pStyle w:val="Texto"/>
              <w:ind w:firstLine="0"/>
              <w:rPr>
                <w:szCs w:val="18"/>
              </w:rPr>
            </w:pPr>
            <w:r>
              <w:rPr>
                <w:szCs w:val="18"/>
              </w:rPr>
              <w:t>Evolución del patrimonio en el periodo 2014-2018.</w:t>
            </w:r>
          </w:p>
        </w:tc>
      </w:tr>
      <w:tr w:rsidR="00000052" w:rsidRPr="003141BE" w:rsidTr="00000052">
        <w:trPr>
          <w:cantSplit/>
          <w:trHeight w:val="183"/>
        </w:trPr>
        <w:tc>
          <w:tcPr>
            <w:tcW w:w="2126" w:type="dxa"/>
            <w:tcBorders>
              <w:top w:val="single" w:sz="6" w:space="0" w:color="000000"/>
              <w:left w:val="single" w:sz="6" w:space="0" w:color="000000"/>
              <w:bottom w:val="single" w:sz="6" w:space="0" w:color="000000"/>
              <w:right w:val="single" w:sz="6" w:space="0" w:color="000000"/>
            </w:tcBorders>
            <w:shd w:val="clear" w:color="auto" w:fill="D6E3BC"/>
            <w:hideMark/>
          </w:tcPr>
          <w:p w:rsidR="00000052" w:rsidRPr="00B47F47" w:rsidRDefault="00000052" w:rsidP="00000052">
            <w:pPr>
              <w:pStyle w:val="Texto"/>
              <w:ind w:firstLine="0"/>
              <w:jc w:val="left"/>
              <w:rPr>
                <w:b/>
              </w:rPr>
            </w:pPr>
            <w:r w:rsidRPr="00B47F47">
              <w:rPr>
                <w:b/>
              </w:rPr>
              <w:t>Observaciones</w:t>
            </w:r>
          </w:p>
        </w:tc>
        <w:tc>
          <w:tcPr>
            <w:tcW w:w="5908" w:type="dxa"/>
            <w:gridSpan w:val="2"/>
            <w:tcBorders>
              <w:top w:val="single" w:sz="6" w:space="0" w:color="000000"/>
              <w:left w:val="single" w:sz="6" w:space="0" w:color="000000"/>
              <w:bottom w:val="single" w:sz="6" w:space="0" w:color="000000"/>
              <w:right w:val="single" w:sz="6" w:space="0" w:color="000000"/>
            </w:tcBorders>
            <w:hideMark/>
          </w:tcPr>
          <w:p w:rsidR="00000052" w:rsidRPr="00B47F47" w:rsidRDefault="00000052" w:rsidP="00000052">
            <w:pPr>
              <w:pStyle w:val="Texto"/>
              <w:ind w:firstLine="0"/>
              <w:rPr>
                <w:szCs w:val="18"/>
              </w:rPr>
            </w:pPr>
            <w:r>
              <w:rPr>
                <w:szCs w:val="18"/>
              </w:rPr>
              <w:t>N/A.</w:t>
            </w:r>
          </w:p>
        </w:tc>
      </w:tr>
      <w:tr w:rsidR="00000052" w:rsidRPr="003141BE" w:rsidTr="00000052">
        <w:trPr>
          <w:cantSplit/>
          <w:trHeight w:val="116"/>
        </w:trPr>
        <w:tc>
          <w:tcPr>
            <w:tcW w:w="2126" w:type="dxa"/>
            <w:tcBorders>
              <w:top w:val="single" w:sz="6" w:space="0" w:color="000000"/>
              <w:left w:val="single" w:sz="6" w:space="0" w:color="000000"/>
              <w:bottom w:val="single" w:sz="6" w:space="0" w:color="000000"/>
              <w:right w:val="single" w:sz="6" w:space="0" w:color="000000"/>
            </w:tcBorders>
            <w:shd w:val="clear" w:color="auto" w:fill="D6E3BC"/>
            <w:hideMark/>
          </w:tcPr>
          <w:p w:rsidR="00000052" w:rsidRPr="00B47F47" w:rsidRDefault="00000052" w:rsidP="00000052">
            <w:pPr>
              <w:pStyle w:val="Texto"/>
              <w:ind w:firstLine="0"/>
              <w:jc w:val="left"/>
              <w:rPr>
                <w:b/>
              </w:rPr>
            </w:pPr>
            <w:r w:rsidRPr="00B47F47">
              <w:rPr>
                <w:b/>
              </w:rPr>
              <w:t>Periodicidad</w:t>
            </w:r>
          </w:p>
        </w:tc>
        <w:tc>
          <w:tcPr>
            <w:tcW w:w="5908" w:type="dxa"/>
            <w:gridSpan w:val="2"/>
            <w:tcBorders>
              <w:top w:val="single" w:sz="6" w:space="0" w:color="000000"/>
              <w:left w:val="single" w:sz="6" w:space="0" w:color="000000"/>
              <w:bottom w:val="single" w:sz="6" w:space="0" w:color="000000"/>
              <w:right w:val="single" w:sz="6" w:space="0" w:color="000000"/>
            </w:tcBorders>
            <w:hideMark/>
          </w:tcPr>
          <w:p w:rsidR="00000052" w:rsidRPr="00B47F47" w:rsidRDefault="00000052" w:rsidP="00000052">
            <w:pPr>
              <w:pStyle w:val="Texto"/>
              <w:ind w:firstLine="0"/>
              <w:rPr>
                <w:szCs w:val="18"/>
              </w:rPr>
            </w:pPr>
            <w:r w:rsidRPr="00B47F47">
              <w:rPr>
                <w:szCs w:val="18"/>
              </w:rPr>
              <w:t>Anual.</w:t>
            </w:r>
          </w:p>
        </w:tc>
      </w:tr>
      <w:tr w:rsidR="00000052" w:rsidRPr="003141BE" w:rsidTr="00000052">
        <w:trPr>
          <w:cantSplit/>
          <w:trHeight w:val="176"/>
        </w:trPr>
        <w:tc>
          <w:tcPr>
            <w:tcW w:w="2126" w:type="dxa"/>
            <w:tcBorders>
              <w:top w:val="single" w:sz="6" w:space="0" w:color="000000"/>
              <w:left w:val="single" w:sz="6" w:space="0" w:color="000000"/>
              <w:bottom w:val="single" w:sz="6" w:space="0" w:color="000000"/>
              <w:right w:val="single" w:sz="6" w:space="0" w:color="000000"/>
            </w:tcBorders>
            <w:shd w:val="clear" w:color="auto" w:fill="D6E3BC"/>
            <w:hideMark/>
          </w:tcPr>
          <w:p w:rsidR="00000052" w:rsidRPr="00B47F47" w:rsidRDefault="00000052" w:rsidP="00000052">
            <w:pPr>
              <w:pStyle w:val="Texto"/>
              <w:ind w:firstLine="0"/>
              <w:jc w:val="left"/>
              <w:rPr>
                <w:b/>
              </w:rPr>
            </w:pPr>
            <w:r w:rsidRPr="00B47F47">
              <w:rPr>
                <w:b/>
              </w:rPr>
              <w:t>Fuente:</w:t>
            </w:r>
          </w:p>
        </w:tc>
        <w:tc>
          <w:tcPr>
            <w:tcW w:w="5908" w:type="dxa"/>
            <w:gridSpan w:val="2"/>
            <w:tcBorders>
              <w:top w:val="single" w:sz="6" w:space="0" w:color="000000"/>
              <w:left w:val="single" w:sz="6" w:space="0" w:color="000000"/>
              <w:bottom w:val="single" w:sz="6" w:space="0" w:color="000000"/>
              <w:right w:val="single" w:sz="6" w:space="0" w:color="000000"/>
            </w:tcBorders>
          </w:tcPr>
          <w:p w:rsidR="00000052" w:rsidRPr="00B47F47" w:rsidRDefault="00000052" w:rsidP="00000052">
            <w:pPr>
              <w:pStyle w:val="Texto"/>
              <w:ind w:firstLine="0"/>
              <w:rPr>
                <w:szCs w:val="18"/>
              </w:rPr>
            </w:pPr>
            <w:r w:rsidRPr="00B47F47">
              <w:rPr>
                <w:szCs w:val="18"/>
              </w:rPr>
              <w:t>Financiera Nacional de Desarrollo Agropecuario, Rural, Forestal y Pesquero.</w:t>
            </w:r>
          </w:p>
        </w:tc>
      </w:tr>
      <w:tr w:rsidR="00000052" w:rsidRPr="003141BE" w:rsidTr="00000052">
        <w:trPr>
          <w:cantSplit/>
          <w:trHeight w:val="176"/>
        </w:trPr>
        <w:tc>
          <w:tcPr>
            <w:tcW w:w="2126" w:type="dxa"/>
            <w:tcBorders>
              <w:top w:val="single" w:sz="6" w:space="0" w:color="000000"/>
              <w:left w:val="single" w:sz="6" w:space="0" w:color="000000"/>
              <w:bottom w:val="single" w:sz="6" w:space="0" w:color="000000"/>
              <w:right w:val="single" w:sz="6" w:space="0" w:color="000000"/>
            </w:tcBorders>
            <w:shd w:val="clear" w:color="auto" w:fill="D6E3BC"/>
            <w:hideMark/>
          </w:tcPr>
          <w:p w:rsidR="00000052" w:rsidRPr="00B47F47" w:rsidRDefault="00000052" w:rsidP="00000052">
            <w:pPr>
              <w:pStyle w:val="Texto"/>
              <w:ind w:firstLine="0"/>
              <w:jc w:val="left"/>
              <w:rPr>
                <w:b/>
              </w:rPr>
            </w:pPr>
            <w:r w:rsidRPr="00B47F47">
              <w:rPr>
                <w:b/>
              </w:rPr>
              <w:t>Referencias adicionales</w:t>
            </w:r>
          </w:p>
        </w:tc>
        <w:tc>
          <w:tcPr>
            <w:tcW w:w="5908" w:type="dxa"/>
            <w:gridSpan w:val="2"/>
            <w:tcBorders>
              <w:top w:val="single" w:sz="6" w:space="0" w:color="000000"/>
              <w:left w:val="single" w:sz="6" w:space="0" w:color="000000"/>
              <w:bottom w:val="single" w:sz="6" w:space="0" w:color="000000"/>
              <w:right w:val="single" w:sz="6" w:space="0" w:color="000000"/>
            </w:tcBorders>
          </w:tcPr>
          <w:p w:rsidR="00000052" w:rsidRPr="00B47F47" w:rsidRDefault="00000052" w:rsidP="00000052">
            <w:pPr>
              <w:pStyle w:val="Texto"/>
              <w:ind w:firstLine="0"/>
              <w:rPr>
                <w:szCs w:val="18"/>
              </w:rPr>
            </w:pPr>
            <w:r w:rsidRPr="00B47F47">
              <w:rPr>
                <w:szCs w:val="18"/>
              </w:rPr>
              <w:t>Financiera Nacional de Desarrollo Agropecuario, Rural, Forestal y Pesquero.</w:t>
            </w:r>
          </w:p>
        </w:tc>
      </w:tr>
      <w:tr w:rsidR="00000052" w:rsidRPr="00B47F47" w:rsidTr="00000052">
        <w:trPr>
          <w:cantSplit/>
          <w:trHeight w:val="108"/>
        </w:trPr>
        <w:tc>
          <w:tcPr>
            <w:tcW w:w="4110" w:type="dxa"/>
            <w:gridSpan w:val="2"/>
            <w:tcBorders>
              <w:top w:val="single" w:sz="6" w:space="0" w:color="000000"/>
              <w:left w:val="single" w:sz="6" w:space="0" w:color="000000"/>
              <w:bottom w:val="single" w:sz="6" w:space="0" w:color="000000"/>
              <w:right w:val="single" w:sz="6" w:space="0" w:color="000000"/>
            </w:tcBorders>
            <w:shd w:val="clear" w:color="auto" w:fill="D6E3BC"/>
            <w:hideMark/>
          </w:tcPr>
          <w:p w:rsidR="00000052" w:rsidRPr="00B47F47" w:rsidRDefault="00000052" w:rsidP="00000052">
            <w:pPr>
              <w:pStyle w:val="Texto"/>
              <w:ind w:firstLine="0"/>
              <w:jc w:val="center"/>
              <w:rPr>
                <w:b/>
              </w:rPr>
            </w:pPr>
            <w:r w:rsidRPr="00B47F47">
              <w:rPr>
                <w:b/>
              </w:rPr>
              <w:t>Línea base 2013</w:t>
            </w:r>
          </w:p>
        </w:tc>
        <w:tc>
          <w:tcPr>
            <w:tcW w:w="3924" w:type="dxa"/>
            <w:tcBorders>
              <w:top w:val="single" w:sz="6" w:space="0" w:color="000000"/>
              <w:left w:val="single" w:sz="6" w:space="0" w:color="000000"/>
              <w:bottom w:val="single" w:sz="6" w:space="0" w:color="000000"/>
              <w:right w:val="single" w:sz="6" w:space="0" w:color="000000"/>
            </w:tcBorders>
            <w:shd w:val="clear" w:color="auto" w:fill="D6E3BC"/>
            <w:hideMark/>
          </w:tcPr>
          <w:p w:rsidR="00000052" w:rsidRPr="00B47F47" w:rsidRDefault="00000052" w:rsidP="00000052">
            <w:pPr>
              <w:pStyle w:val="Texto"/>
              <w:ind w:firstLine="0"/>
              <w:jc w:val="center"/>
              <w:rPr>
                <w:b/>
              </w:rPr>
            </w:pPr>
            <w:r w:rsidRPr="00B47F47">
              <w:rPr>
                <w:b/>
              </w:rPr>
              <w:t>Meta 2018</w:t>
            </w:r>
          </w:p>
        </w:tc>
      </w:tr>
      <w:tr w:rsidR="00000052" w:rsidRPr="003141BE" w:rsidTr="00000052">
        <w:trPr>
          <w:cantSplit/>
          <w:trHeight w:val="182"/>
        </w:trPr>
        <w:tc>
          <w:tcPr>
            <w:tcW w:w="4110" w:type="dxa"/>
            <w:gridSpan w:val="2"/>
            <w:tcBorders>
              <w:top w:val="single" w:sz="6" w:space="0" w:color="000000"/>
              <w:left w:val="single" w:sz="6" w:space="0" w:color="000000"/>
              <w:bottom w:val="single" w:sz="6" w:space="0" w:color="000000"/>
              <w:right w:val="single" w:sz="6" w:space="0" w:color="000000"/>
            </w:tcBorders>
          </w:tcPr>
          <w:p w:rsidR="00000052" w:rsidRPr="00C21A75" w:rsidRDefault="003B2700" w:rsidP="00000052">
            <w:pPr>
              <w:pStyle w:val="Texto"/>
              <w:ind w:firstLine="0"/>
              <w:jc w:val="center"/>
              <w:rPr>
                <w:highlight w:val="yellow"/>
              </w:rPr>
            </w:pPr>
            <w:r>
              <w:t>100%</w:t>
            </w:r>
          </w:p>
        </w:tc>
        <w:tc>
          <w:tcPr>
            <w:tcW w:w="3924" w:type="dxa"/>
            <w:tcBorders>
              <w:top w:val="single" w:sz="6" w:space="0" w:color="000000"/>
              <w:left w:val="single" w:sz="6" w:space="0" w:color="000000"/>
              <w:bottom w:val="single" w:sz="6" w:space="0" w:color="000000"/>
              <w:right w:val="single" w:sz="6" w:space="0" w:color="000000"/>
            </w:tcBorders>
          </w:tcPr>
          <w:p w:rsidR="00000052" w:rsidRPr="00C21A75" w:rsidRDefault="003B2700" w:rsidP="00000052">
            <w:pPr>
              <w:pStyle w:val="Texto"/>
              <w:ind w:firstLine="0"/>
              <w:jc w:val="center"/>
              <w:rPr>
                <w:highlight w:val="yellow"/>
              </w:rPr>
            </w:pPr>
            <w:r>
              <w:t>100%</w:t>
            </w:r>
          </w:p>
        </w:tc>
      </w:tr>
    </w:tbl>
    <w:p w:rsidR="00000052" w:rsidRDefault="00000052" w:rsidP="00000052"/>
    <w:p w:rsidR="00000052" w:rsidRPr="00C21A75" w:rsidRDefault="00000052" w:rsidP="00000052">
      <w:pPr>
        <w:pStyle w:val="Ttulo1"/>
      </w:pPr>
      <w:bookmarkStart w:id="13" w:name="_Toc259122273"/>
      <w:bookmarkStart w:id="14" w:name="_Toc386131529"/>
      <w:bookmarkStart w:id="15" w:name="_Toc259880919"/>
      <w:r w:rsidRPr="009A01F0">
        <w:t>Resultados económicos y financieros esperados</w:t>
      </w:r>
      <w:bookmarkEnd w:id="13"/>
      <w:r>
        <w:t>.</w:t>
      </w:r>
      <w:bookmarkEnd w:id="14"/>
      <w:bookmarkEnd w:id="15"/>
    </w:p>
    <w:p w:rsidR="00000052" w:rsidRPr="00C21A75" w:rsidRDefault="00000052" w:rsidP="00000052"/>
    <w:p w:rsidR="00000052" w:rsidRPr="00C21A75" w:rsidRDefault="00000052" w:rsidP="00000052">
      <w:r w:rsidRPr="00C21A75">
        <w:t>Las proyecciones de resultados económicos y financieros de la Financiera Nacional se presentan de forma anual en el Proyecto de Presupuesto Inst</w:t>
      </w:r>
      <w:r w:rsidR="003B2700">
        <w:t>itucional</w:t>
      </w:r>
      <w:r w:rsidRPr="00C21A75">
        <w:t xml:space="preserve">, de acuerdo </w:t>
      </w:r>
      <w:r w:rsidR="003B2700">
        <w:t>a</w:t>
      </w:r>
      <w:r w:rsidRPr="00C21A75">
        <w:t xml:space="preserve"> la normatividad y disposiciones vigentes.</w:t>
      </w:r>
    </w:p>
    <w:p w:rsidR="00000052" w:rsidRDefault="00000052" w:rsidP="00000052">
      <w:r w:rsidRPr="00B47F47">
        <w:t>Asimismo, se buscará mantener la estabilidad financiera y mejorar los indicadores de rentabilidad de la Financiera Nacional, a través del incremento en la colocación y recuperación de los créditos y optimizando los recursos para lograr una reducción en el costo operativo de la Institución.</w:t>
      </w:r>
    </w:p>
    <w:p w:rsidR="003B2700" w:rsidRDefault="003B2700" w:rsidP="003B2700">
      <w:r>
        <w:t xml:space="preserve">En este sentido, en la Reforma Financiera, se estableció que la Financiera Nacional deberá presentar al Consejo Directivo, la estrategia y criterios en los que deberá establecerse, entre otros, tasas, plazos, riesgos de las operaciones y tipos de negocio, atendiendo a los rendimientos que el propio Consejo Directivo acuerde como objetivo. Considerando que actualmente la Institución se encuentra en un proceso de reestructuración a fin de cumplir con su nuevo mandato, se generarán las proyecciones de ingresos y egresos, así como estados proforma para el periodo 2014-2018, una vez que se cuente con la definición de los elementos. </w:t>
      </w:r>
    </w:p>
    <w:p w:rsidR="00000052" w:rsidRDefault="00000052" w:rsidP="00000052">
      <w:r>
        <w:t xml:space="preserve">En materia de recursos fiscales, se estima que será necesario contar con montos crecientes para cumplir las metas de saldo de financiamiento propuestas en el Programa. </w:t>
      </w:r>
      <w:r w:rsidR="003B2700">
        <w:t>se estima que estos recursos podrían ascender aproximadamente a 27 mil millones de pesos para el periodo 2014-2018. Estos recursos estarían destinados para la constitución de garantías líquidas, subsidios directos, reducción de costos y disminución de costo financiero, entre otros rubros, y que, de no contar con ellos, tendría un impacto directo en el patrimonio de la Financiera y en las tasas de interés para los Productores e Intermediarios Financieros</w:t>
      </w:r>
      <w:r>
        <w:t>.</w:t>
      </w:r>
    </w:p>
    <w:p w:rsidR="00000052" w:rsidRPr="009A01F0" w:rsidRDefault="00000052" w:rsidP="00000052"/>
    <w:p w:rsidR="00000052" w:rsidRDefault="00000052" w:rsidP="00000052">
      <w:pPr>
        <w:pStyle w:val="Ttulo1"/>
      </w:pPr>
      <w:bookmarkStart w:id="16" w:name="_Toc259880920"/>
      <w:bookmarkStart w:id="17" w:name="_Toc259122274"/>
      <w:bookmarkStart w:id="18" w:name="_Toc386131530"/>
      <w:r w:rsidRPr="00950BB9">
        <w:t xml:space="preserve">Previsiones respecto a las posibles modificaciones a la </w:t>
      </w:r>
      <w:bookmarkEnd w:id="16"/>
      <w:r w:rsidRPr="003C62D8">
        <w:t>Estructura Orgánica</w:t>
      </w:r>
      <w:bookmarkEnd w:id="17"/>
      <w:r w:rsidRPr="003C62D8">
        <w:t>.</w:t>
      </w:r>
      <w:bookmarkEnd w:id="18"/>
    </w:p>
    <w:p w:rsidR="00000052" w:rsidRPr="00C21A75" w:rsidRDefault="00000052" w:rsidP="00000052"/>
    <w:p w:rsidR="008B581D" w:rsidRDefault="008B581D" w:rsidP="008B581D">
      <w:r>
        <w:t>Derivado de la publicación de la Reforma Financiera, la Ley Orgánica de la Financiera Nacional de Desarrollo Agropecuario, Rural, Forestal y Pesquero permite tener flexibilidad regulatoria para auto- determinar la estructura organizacional de la Institución.</w:t>
      </w:r>
    </w:p>
    <w:p w:rsidR="008B581D" w:rsidRDefault="008B581D" w:rsidP="008B581D">
      <w:r>
        <w:t>De conformidad con lo establecido en la Ley, se brindan herramientas para alinear los niveles de puestos, tabuladores de sueldos y prestaciones, política salarial, políticas de ascensos y promociones y el otorgamiento de percepciones extraordinarias conforme al cumplimiento de metas sujetas a la evaluación del desempeño laboral.</w:t>
      </w:r>
    </w:p>
    <w:p w:rsidR="008B581D" w:rsidRDefault="008B581D" w:rsidP="008B581D">
      <w:r>
        <w:t>Asimismo, los lineamientos de selección, reclutamiento y capacitación; criterios de separación; y las demás prestaciones económicas y de seguridad social establecidas en beneficio de los servidores públicos que laboren en la Financiera Nacional, estarán orientadas a la implementación de estrategias que hagan más productivo el uso del capital de la Institución.</w:t>
      </w:r>
    </w:p>
    <w:p w:rsidR="008B581D" w:rsidRDefault="008B581D" w:rsidP="008B581D">
      <w:r>
        <w:t>En este sentido, se considera que actualmente las áreas y el personal involucrados en la originación y administración de crédito, resultan insuficientes para atender el incremento planteado en las metas de colocación y en la cobertura que se presentan en el Programa Institucional.</w:t>
      </w:r>
    </w:p>
    <w:p w:rsidR="008B581D" w:rsidRDefault="008B581D" w:rsidP="008B581D">
      <w:r>
        <w:lastRenderedPageBreak/>
        <w:t>La dinámica en el crecimiento del saldo, antes de la publicación de la Reforma Financiera, ya había considerado la conveniencia de incluir para 2014 una previsión presupuestal de 19 millones de pesos para la creación de nuevas plazas.</w:t>
      </w:r>
    </w:p>
    <w:p w:rsidR="008B581D" w:rsidRDefault="003E4DC6" w:rsidP="008B581D">
      <w:r>
        <w:t>Es posible que se requiera complementar dichos recursos, ya que se estima para el periodo 2014-2018, un crecimiento mínimo en la estructura orgánica de 50 nuevas plazas por año, con un impacto presupuestario estimado de 189 millones de pesos en el periodo 2014-2018 en el capítulo de servicios personales. Asimismo, será necesario realizar conversiones de plazas a fin de reflejar en la estructura las responsabilidades que están asumiendo los servidores públicos de la Entidad</w:t>
      </w:r>
      <w:r w:rsidR="008B581D">
        <w:t>.</w:t>
      </w:r>
    </w:p>
    <w:p w:rsidR="008B581D" w:rsidRDefault="008B581D" w:rsidP="008B581D">
      <w:r>
        <w:t>Cabe señalar que dicho aumento no repercutirá en incrementos en el margen de intermediación y el número final de plazas por año deberá optimizarse, en función de los productos que se ofrezcan a los clientes y la modernización de los sistemas de la Institución.</w:t>
      </w:r>
    </w:p>
    <w:p w:rsidR="00000052" w:rsidRPr="009A01F0" w:rsidRDefault="00000052" w:rsidP="00000052">
      <w:pPr>
        <w:rPr>
          <w:lang w:val="es-ES"/>
        </w:rPr>
      </w:pPr>
    </w:p>
    <w:p w:rsidR="00CB6CEA" w:rsidRPr="009A01F0" w:rsidRDefault="00CB6CEA" w:rsidP="00F45238">
      <w:pPr>
        <w:pStyle w:val="Ttulo1"/>
      </w:pPr>
      <w:r w:rsidRPr="009A01F0">
        <w:t>Calendario de instrumentación de acciones por la Reforma Financiera</w:t>
      </w:r>
      <w:bookmarkEnd w:id="4"/>
      <w:bookmarkEnd w:id="5"/>
      <w:bookmarkEnd w:id="6"/>
    </w:p>
    <w:p w:rsidR="00CB6CEA" w:rsidRPr="00C21A75" w:rsidRDefault="00CB6CEA" w:rsidP="00C21A75"/>
    <w:p w:rsidR="00CB6CEA" w:rsidRPr="00B47F47" w:rsidRDefault="00CB6CEA" w:rsidP="00C21A75">
      <w:r w:rsidRPr="00C21A75">
        <w:t xml:space="preserve">La Reforma Financiera otorga mayor flexibilidad operativa y regulatoria a la Financiera Nacional de Desarrollo Agropecuario, Rural, Forestal y Pesquero mediante la redefinición de su mandato para propiciar una mayor colocación de créditos en el sector rural, fomentando la creación de programas y productos destinados a las áreas prioritarias, que promuevan la inclusión financiera de las personas físicas y morales y ordenando la implementación de estrategias que hagan más productivo el uso del capital. Asimismo, </w:t>
      </w:r>
      <w:r w:rsidRPr="00B47F47">
        <w:t>considera las medidas prudenciales de regulación para mantener su solidez, considerando entre otras, los servicios de asistencia y defensa legal y esquemas de sanciones y autocorrección.</w:t>
      </w:r>
    </w:p>
    <w:p w:rsidR="00CB6CEA" w:rsidRPr="00B47F47" w:rsidRDefault="00CB6CEA" w:rsidP="00C21A75">
      <w:r w:rsidRPr="00B47F47">
        <w:t>Considerando las nuevas obligaciones para la Institución, incluidas en la Ley Orgánica de la Financiera Nacional de Desarrollo Agropecuario, Rural, Forestal y Pesquero, publicada en el Diario Oficial de la Federación el 10 de enero de 2014, se presenta el siguiente calendario de instrumentación:</w:t>
      </w:r>
    </w:p>
    <w:p w:rsidR="00950BB9" w:rsidRPr="00B47F47" w:rsidRDefault="00950BB9" w:rsidP="00C21A75"/>
    <w:tbl>
      <w:tblPr>
        <w:tblW w:w="9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
        <w:gridCol w:w="994"/>
        <w:gridCol w:w="4671"/>
        <w:gridCol w:w="7"/>
        <w:gridCol w:w="1127"/>
        <w:gridCol w:w="7"/>
        <w:gridCol w:w="1184"/>
        <w:gridCol w:w="7"/>
        <w:gridCol w:w="1127"/>
      </w:tblGrid>
      <w:tr w:rsidR="00000052" w:rsidRPr="00C05725" w:rsidTr="00000052">
        <w:trPr>
          <w:jc w:val="center"/>
        </w:trPr>
        <w:tc>
          <w:tcPr>
            <w:tcW w:w="1009" w:type="dxa"/>
            <w:gridSpan w:val="2"/>
            <w:vMerge w:val="restart"/>
            <w:shd w:val="clear" w:color="auto" w:fill="8C8C8C"/>
            <w:vAlign w:val="center"/>
          </w:tcPr>
          <w:p w:rsidR="00000052" w:rsidRPr="00C05725" w:rsidRDefault="00000052" w:rsidP="00000052">
            <w:pPr>
              <w:ind w:firstLine="0"/>
              <w:jc w:val="center"/>
              <w:rPr>
                <w:b/>
              </w:rPr>
            </w:pPr>
            <w:r w:rsidRPr="00C05725">
              <w:rPr>
                <w:b/>
              </w:rPr>
              <w:t>Artículo</w:t>
            </w:r>
          </w:p>
        </w:tc>
        <w:tc>
          <w:tcPr>
            <w:tcW w:w="4671" w:type="dxa"/>
            <w:vMerge w:val="restart"/>
            <w:shd w:val="clear" w:color="auto" w:fill="8C8C8C"/>
            <w:vAlign w:val="center"/>
          </w:tcPr>
          <w:p w:rsidR="00000052" w:rsidRPr="00C05725" w:rsidRDefault="00000052" w:rsidP="00000052">
            <w:pPr>
              <w:ind w:firstLine="0"/>
              <w:jc w:val="center"/>
              <w:rPr>
                <w:b/>
              </w:rPr>
            </w:pPr>
            <w:r w:rsidRPr="00C05725">
              <w:rPr>
                <w:b/>
              </w:rPr>
              <w:t>Obligación</w:t>
            </w:r>
          </w:p>
        </w:tc>
        <w:tc>
          <w:tcPr>
            <w:tcW w:w="3459" w:type="dxa"/>
            <w:gridSpan w:val="6"/>
            <w:shd w:val="clear" w:color="auto" w:fill="8C8C8C"/>
            <w:vAlign w:val="center"/>
          </w:tcPr>
          <w:p w:rsidR="00000052" w:rsidRPr="00C05725" w:rsidRDefault="00000052" w:rsidP="00000052">
            <w:pPr>
              <w:ind w:firstLine="0"/>
              <w:jc w:val="center"/>
              <w:rPr>
                <w:b/>
              </w:rPr>
            </w:pPr>
            <w:r w:rsidRPr="00C05725">
              <w:rPr>
                <w:b/>
              </w:rPr>
              <w:t>2014</w:t>
            </w:r>
          </w:p>
        </w:tc>
      </w:tr>
      <w:tr w:rsidR="00000052" w:rsidRPr="00C05725" w:rsidTr="00000052">
        <w:trPr>
          <w:jc w:val="center"/>
        </w:trPr>
        <w:tc>
          <w:tcPr>
            <w:tcW w:w="1009" w:type="dxa"/>
            <w:gridSpan w:val="2"/>
            <w:vMerge/>
            <w:tcBorders>
              <w:bottom w:val="single" w:sz="4" w:space="0" w:color="auto"/>
            </w:tcBorders>
            <w:shd w:val="clear" w:color="auto" w:fill="8C8C8C"/>
          </w:tcPr>
          <w:p w:rsidR="00000052" w:rsidRPr="00C05725" w:rsidRDefault="00000052" w:rsidP="00000052">
            <w:pPr>
              <w:ind w:firstLine="0"/>
              <w:jc w:val="center"/>
            </w:pPr>
          </w:p>
        </w:tc>
        <w:tc>
          <w:tcPr>
            <w:tcW w:w="4671" w:type="dxa"/>
            <w:vMerge/>
            <w:tcBorders>
              <w:bottom w:val="single" w:sz="4" w:space="0" w:color="auto"/>
            </w:tcBorders>
            <w:shd w:val="clear" w:color="auto" w:fill="8C8C8C"/>
          </w:tcPr>
          <w:p w:rsidR="00000052" w:rsidRPr="00C05725" w:rsidRDefault="00000052" w:rsidP="00000052"/>
        </w:tc>
        <w:tc>
          <w:tcPr>
            <w:tcW w:w="1134" w:type="dxa"/>
            <w:gridSpan w:val="2"/>
            <w:tcBorders>
              <w:bottom w:val="single" w:sz="4" w:space="0" w:color="auto"/>
            </w:tcBorders>
            <w:shd w:val="clear" w:color="auto" w:fill="8C8C8C"/>
            <w:vAlign w:val="center"/>
          </w:tcPr>
          <w:p w:rsidR="00000052" w:rsidRPr="00C05725" w:rsidRDefault="00000052" w:rsidP="00000052">
            <w:pPr>
              <w:ind w:firstLine="0"/>
              <w:jc w:val="center"/>
              <w:rPr>
                <w:b/>
              </w:rPr>
            </w:pPr>
            <w:r w:rsidRPr="00C05725">
              <w:rPr>
                <w:b/>
              </w:rPr>
              <w:t>2º Trimestre</w:t>
            </w:r>
          </w:p>
        </w:tc>
        <w:tc>
          <w:tcPr>
            <w:tcW w:w="1191" w:type="dxa"/>
            <w:gridSpan w:val="2"/>
            <w:tcBorders>
              <w:bottom w:val="single" w:sz="4" w:space="0" w:color="auto"/>
            </w:tcBorders>
            <w:shd w:val="clear" w:color="auto" w:fill="8C8C8C"/>
            <w:vAlign w:val="center"/>
          </w:tcPr>
          <w:p w:rsidR="00000052" w:rsidRPr="00C05725" w:rsidRDefault="00000052" w:rsidP="00000052">
            <w:pPr>
              <w:ind w:firstLine="0"/>
              <w:jc w:val="center"/>
              <w:rPr>
                <w:b/>
              </w:rPr>
            </w:pPr>
            <w:r w:rsidRPr="00C05725">
              <w:rPr>
                <w:b/>
              </w:rPr>
              <w:t>3er. Trimestre</w:t>
            </w:r>
          </w:p>
        </w:tc>
        <w:tc>
          <w:tcPr>
            <w:tcW w:w="1134" w:type="dxa"/>
            <w:gridSpan w:val="2"/>
            <w:tcBorders>
              <w:bottom w:val="single" w:sz="4" w:space="0" w:color="auto"/>
            </w:tcBorders>
            <w:shd w:val="clear" w:color="auto" w:fill="8C8C8C"/>
            <w:vAlign w:val="center"/>
          </w:tcPr>
          <w:p w:rsidR="00000052" w:rsidRPr="00C05725" w:rsidRDefault="00000052" w:rsidP="00000052">
            <w:pPr>
              <w:ind w:firstLine="0"/>
              <w:jc w:val="center"/>
              <w:rPr>
                <w:b/>
              </w:rPr>
            </w:pPr>
            <w:r w:rsidRPr="00C05725">
              <w:rPr>
                <w:b/>
              </w:rPr>
              <w:t>4º Trimestre</w:t>
            </w:r>
          </w:p>
        </w:tc>
      </w:tr>
      <w:tr w:rsidR="00000052" w:rsidRPr="00C05725" w:rsidTr="000000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rPr>
        <w:tc>
          <w:tcPr>
            <w:tcW w:w="994" w:type="dxa"/>
            <w:tcBorders>
              <w:top w:val="single" w:sz="4" w:space="0" w:color="auto"/>
              <w:left w:val="single" w:sz="4" w:space="0" w:color="auto"/>
              <w:bottom w:val="single" w:sz="4" w:space="0" w:color="auto"/>
              <w:right w:val="single" w:sz="4" w:space="0" w:color="auto"/>
            </w:tcBorders>
            <w:vAlign w:val="center"/>
          </w:tcPr>
          <w:p w:rsidR="00000052" w:rsidRPr="00C05725" w:rsidRDefault="00000052" w:rsidP="00000052">
            <w:pPr>
              <w:ind w:firstLine="0"/>
              <w:jc w:val="left"/>
            </w:pPr>
            <w:r w:rsidRPr="00C05725">
              <w:t>Art. 9</w:t>
            </w:r>
          </w:p>
        </w:tc>
        <w:tc>
          <w:tcPr>
            <w:tcW w:w="4678" w:type="dxa"/>
            <w:gridSpan w:val="2"/>
            <w:tcBorders>
              <w:top w:val="single" w:sz="4" w:space="0" w:color="auto"/>
              <w:left w:val="single" w:sz="4" w:space="0" w:color="auto"/>
              <w:bottom w:val="single" w:sz="4" w:space="0" w:color="auto"/>
              <w:right w:val="single" w:sz="4" w:space="0" w:color="auto"/>
            </w:tcBorders>
          </w:tcPr>
          <w:p w:rsidR="00000052" w:rsidRPr="00C05725" w:rsidRDefault="00000052" w:rsidP="00000052">
            <w:pPr>
              <w:ind w:firstLine="5"/>
            </w:pPr>
            <w:r w:rsidRPr="00C05725">
              <w:t>Establecer montos, instancias de autorización y lineamientos para el otorgamiento de préstamos o créditos a los productores, a fin de someterlos a aprobación del Consejo</w:t>
            </w:r>
          </w:p>
        </w:tc>
        <w:tc>
          <w:tcPr>
            <w:tcW w:w="1134" w:type="dxa"/>
            <w:gridSpan w:val="2"/>
            <w:tcBorders>
              <w:top w:val="single" w:sz="4" w:space="0" w:color="auto"/>
              <w:left w:val="single" w:sz="4" w:space="0" w:color="auto"/>
              <w:bottom w:val="single" w:sz="4" w:space="0" w:color="auto"/>
              <w:right w:val="single" w:sz="4" w:space="0" w:color="auto"/>
            </w:tcBorders>
            <w:shd w:val="clear" w:color="auto" w:fill="76923C" w:themeFill="accent3" w:themeFillShade="BF"/>
          </w:tcPr>
          <w:p w:rsidR="00000052" w:rsidRPr="00C05725" w:rsidRDefault="00000052" w:rsidP="00000052"/>
        </w:tc>
        <w:tc>
          <w:tcPr>
            <w:tcW w:w="1191" w:type="dxa"/>
            <w:gridSpan w:val="2"/>
            <w:tcBorders>
              <w:top w:val="single" w:sz="4" w:space="0" w:color="auto"/>
              <w:left w:val="single" w:sz="4" w:space="0" w:color="auto"/>
              <w:bottom w:val="single" w:sz="4" w:space="0" w:color="auto"/>
              <w:right w:val="single" w:sz="4" w:space="0" w:color="auto"/>
            </w:tcBorders>
            <w:shd w:val="clear" w:color="auto" w:fill="76923C" w:themeFill="accent3" w:themeFillShade="BF"/>
          </w:tcPr>
          <w:p w:rsidR="00000052" w:rsidRPr="00C05725" w:rsidRDefault="00000052" w:rsidP="00000052"/>
        </w:tc>
        <w:tc>
          <w:tcPr>
            <w:tcW w:w="1127" w:type="dxa"/>
            <w:tcBorders>
              <w:top w:val="single" w:sz="4" w:space="0" w:color="auto"/>
              <w:left w:val="single" w:sz="4" w:space="0" w:color="auto"/>
              <w:bottom w:val="single" w:sz="4" w:space="0" w:color="auto"/>
              <w:right w:val="single" w:sz="4" w:space="0" w:color="auto"/>
            </w:tcBorders>
          </w:tcPr>
          <w:p w:rsidR="00000052" w:rsidRPr="00C05725" w:rsidRDefault="00000052" w:rsidP="00000052"/>
        </w:tc>
      </w:tr>
      <w:tr w:rsidR="00000052" w:rsidRPr="00C05725" w:rsidTr="000000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rPr>
        <w:tc>
          <w:tcPr>
            <w:tcW w:w="994" w:type="dxa"/>
            <w:tcBorders>
              <w:top w:val="single" w:sz="4" w:space="0" w:color="auto"/>
              <w:left w:val="single" w:sz="4" w:space="0" w:color="auto"/>
              <w:bottom w:val="single" w:sz="4" w:space="0" w:color="auto"/>
              <w:right w:val="single" w:sz="4" w:space="0" w:color="auto"/>
            </w:tcBorders>
            <w:vAlign w:val="center"/>
          </w:tcPr>
          <w:p w:rsidR="00000052" w:rsidRPr="00C05725" w:rsidRDefault="00000052" w:rsidP="00000052">
            <w:pPr>
              <w:ind w:firstLine="0"/>
              <w:jc w:val="left"/>
            </w:pPr>
            <w:r w:rsidRPr="00C05725">
              <w:t>Art. 11</w:t>
            </w:r>
          </w:p>
        </w:tc>
        <w:tc>
          <w:tcPr>
            <w:tcW w:w="4678" w:type="dxa"/>
            <w:gridSpan w:val="2"/>
            <w:tcBorders>
              <w:top w:val="single" w:sz="4" w:space="0" w:color="auto"/>
              <w:left w:val="single" w:sz="4" w:space="0" w:color="auto"/>
              <w:bottom w:val="single" w:sz="4" w:space="0" w:color="auto"/>
              <w:right w:val="single" w:sz="4" w:space="0" w:color="auto"/>
            </w:tcBorders>
          </w:tcPr>
          <w:p w:rsidR="00000052" w:rsidRPr="00C05725" w:rsidRDefault="00000052" w:rsidP="00000052">
            <w:pPr>
              <w:ind w:firstLine="5"/>
            </w:pPr>
            <w:r w:rsidRPr="00C05725">
              <w:t>Establecer el mecanismo para otorgar financiamiento para el cumplimiento de obligaciones asumidas y, en aquellos casos que requieran atención inmediata, considerando sólo la viabilidad del crédito con lo adecuado y suficiente de las garantías, en ambos casos, previa autorización del Consejo.</w:t>
            </w:r>
          </w:p>
        </w:tc>
        <w:tc>
          <w:tcPr>
            <w:tcW w:w="1134" w:type="dxa"/>
            <w:gridSpan w:val="2"/>
            <w:tcBorders>
              <w:top w:val="single" w:sz="4" w:space="0" w:color="auto"/>
              <w:left w:val="single" w:sz="4" w:space="0" w:color="auto"/>
              <w:bottom w:val="single" w:sz="4" w:space="0" w:color="auto"/>
              <w:right w:val="single" w:sz="4" w:space="0" w:color="auto"/>
            </w:tcBorders>
            <w:shd w:val="clear" w:color="auto" w:fill="76923C" w:themeFill="accent3" w:themeFillShade="BF"/>
          </w:tcPr>
          <w:p w:rsidR="00000052" w:rsidRPr="00C05725" w:rsidRDefault="00000052" w:rsidP="00000052"/>
        </w:tc>
        <w:tc>
          <w:tcPr>
            <w:tcW w:w="1191" w:type="dxa"/>
            <w:gridSpan w:val="2"/>
            <w:tcBorders>
              <w:top w:val="single" w:sz="4" w:space="0" w:color="auto"/>
              <w:left w:val="single" w:sz="4" w:space="0" w:color="auto"/>
              <w:bottom w:val="single" w:sz="4" w:space="0" w:color="auto"/>
              <w:right w:val="single" w:sz="4" w:space="0" w:color="auto"/>
            </w:tcBorders>
            <w:shd w:val="clear" w:color="auto" w:fill="76923C" w:themeFill="accent3" w:themeFillShade="BF"/>
          </w:tcPr>
          <w:p w:rsidR="00000052" w:rsidRPr="00C05725" w:rsidRDefault="00000052" w:rsidP="00000052"/>
        </w:tc>
        <w:tc>
          <w:tcPr>
            <w:tcW w:w="1127" w:type="dxa"/>
            <w:tcBorders>
              <w:top w:val="single" w:sz="4" w:space="0" w:color="auto"/>
              <w:left w:val="single" w:sz="4" w:space="0" w:color="auto"/>
              <w:bottom w:val="single" w:sz="4" w:space="0" w:color="auto"/>
              <w:right w:val="single" w:sz="4" w:space="0" w:color="auto"/>
            </w:tcBorders>
          </w:tcPr>
          <w:p w:rsidR="00000052" w:rsidRPr="00C05725" w:rsidRDefault="00000052" w:rsidP="00000052"/>
        </w:tc>
      </w:tr>
      <w:tr w:rsidR="00000052" w:rsidRPr="00C05725" w:rsidTr="000000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rPr>
        <w:tc>
          <w:tcPr>
            <w:tcW w:w="994" w:type="dxa"/>
            <w:tcBorders>
              <w:top w:val="single" w:sz="4" w:space="0" w:color="auto"/>
              <w:left w:val="single" w:sz="4" w:space="0" w:color="auto"/>
              <w:bottom w:val="single" w:sz="4" w:space="0" w:color="auto"/>
              <w:right w:val="single" w:sz="4" w:space="0" w:color="auto"/>
            </w:tcBorders>
            <w:vAlign w:val="center"/>
          </w:tcPr>
          <w:p w:rsidR="00000052" w:rsidRPr="00C05725" w:rsidRDefault="00000052" w:rsidP="00000052">
            <w:pPr>
              <w:ind w:firstLine="0"/>
              <w:jc w:val="left"/>
            </w:pPr>
            <w:r w:rsidRPr="00C05725">
              <w:t>Art. 33, Frac. XXVI</w:t>
            </w:r>
          </w:p>
        </w:tc>
        <w:tc>
          <w:tcPr>
            <w:tcW w:w="4678" w:type="dxa"/>
            <w:gridSpan w:val="2"/>
            <w:tcBorders>
              <w:top w:val="single" w:sz="4" w:space="0" w:color="auto"/>
              <w:left w:val="single" w:sz="4" w:space="0" w:color="auto"/>
              <w:bottom w:val="single" w:sz="4" w:space="0" w:color="auto"/>
              <w:right w:val="single" w:sz="4" w:space="0" w:color="auto"/>
            </w:tcBorders>
          </w:tcPr>
          <w:p w:rsidR="00000052" w:rsidRPr="00C05725" w:rsidRDefault="00000052" w:rsidP="00000052">
            <w:pPr>
              <w:ind w:firstLine="5"/>
            </w:pPr>
            <w:r w:rsidRPr="00C05725">
              <w:t>Determinar e implementar políticas y bases generales para contratar servicios a fin de realizar operaciones específicas de crédito.</w:t>
            </w:r>
          </w:p>
        </w:tc>
        <w:tc>
          <w:tcPr>
            <w:tcW w:w="1134" w:type="dxa"/>
            <w:gridSpan w:val="2"/>
            <w:tcBorders>
              <w:top w:val="single" w:sz="4" w:space="0" w:color="auto"/>
              <w:left w:val="single" w:sz="4" w:space="0" w:color="auto"/>
              <w:bottom w:val="single" w:sz="4" w:space="0" w:color="auto"/>
              <w:right w:val="single" w:sz="4" w:space="0" w:color="auto"/>
            </w:tcBorders>
            <w:shd w:val="clear" w:color="auto" w:fill="76923C" w:themeFill="accent3" w:themeFillShade="BF"/>
          </w:tcPr>
          <w:p w:rsidR="00000052" w:rsidRPr="00C05725" w:rsidRDefault="00000052" w:rsidP="00000052"/>
        </w:tc>
        <w:tc>
          <w:tcPr>
            <w:tcW w:w="1191" w:type="dxa"/>
            <w:gridSpan w:val="2"/>
            <w:tcBorders>
              <w:top w:val="single" w:sz="4" w:space="0" w:color="auto"/>
              <w:left w:val="single" w:sz="4" w:space="0" w:color="auto"/>
              <w:bottom w:val="single" w:sz="4" w:space="0" w:color="auto"/>
              <w:right w:val="single" w:sz="4" w:space="0" w:color="auto"/>
            </w:tcBorders>
            <w:shd w:val="clear" w:color="auto" w:fill="76923C" w:themeFill="accent3" w:themeFillShade="BF"/>
          </w:tcPr>
          <w:p w:rsidR="00000052" w:rsidRPr="00C05725" w:rsidRDefault="00000052" w:rsidP="00000052"/>
        </w:tc>
        <w:tc>
          <w:tcPr>
            <w:tcW w:w="1127" w:type="dxa"/>
            <w:tcBorders>
              <w:top w:val="single" w:sz="4" w:space="0" w:color="auto"/>
              <w:left w:val="single" w:sz="4" w:space="0" w:color="auto"/>
              <w:bottom w:val="single" w:sz="4" w:space="0" w:color="auto"/>
              <w:right w:val="single" w:sz="4" w:space="0" w:color="auto"/>
            </w:tcBorders>
          </w:tcPr>
          <w:p w:rsidR="00000052" w:rsidRPr="00C05725" w:rsidRDefault="00000052" w:rsidP="00000052"/>
        </w:tc>
      </w:tr>
      <w:tr w:rsidR="00000052" w:rsidRPr="00C05725" w:rsidTr="000000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rPr>
        <w:tc>
          <w:tcPr>
            <w:tcW w:w="994" w:type="dxa"/>
            <w:tcBorders>
              <w:top w:val="single" w:sz="4" w:space="0" w:color="auto"/>
              <w:left w:val="single" w:sz="4" w:space="0" w:color="auto"/>
              <w:bottom w:val="single" w:sz="4" w:space="0" w:color="auto"/>
              <w:right w:val="single" w:sz="4" w:space="0" w:color="auto"/>
            </w:tcBorders>
            <w:vAlign w:val="center"/>
          </w:tcPr>
          <w:p w:rsidR="00000052" w:rsidRPr="00C05725" w:rsidRDefault="00000052" w:rsidP="00000052">
            <w:pPr>
              <w:ind w:firstLine="0"/>
              <w:jc w:val="left"/>
            </w:pPr>
            <w:r w:rsidRPr="00C05725">
              <w:t>Art. 42</w:t>
            </w:r>
          </w:p>
        </w:tc>
        <w:tc>
          <w:tcPr>
            <w:tcW w:w="4678" w:type="dxa"/>
            <w:gridSpan w:val="2"/>
            <w:tcBorders>
              <w:top w:val="single" w:sz="4" w:space="0" w:color="auto"/>
              <w:left w:val="single" w:sz="4" w:space="0" w:color="auto"/>
              <w:bottom w:val="single" w:sz="4" w:space="0" w:color="auto"/>
              <w:right w:val="single" w:sz="4" w:space="0" w:color="auto"/>
            </w:tcBorders>
          </w:tcPr>
          <w:p w:rsidR="00000052" w:rsidRPr="00C05725" w:rsidRDefault="00000052" w:rsidP="00000052">
            <w:pPr>
              <w:ind w:firstLine="5"/>
            </w:pPr>
            <w:r w:rsidRPr="00C05725">
              <w:t>Implementar los criterios que emita la Secretaría de Hacienda y Crédito Público (SHCP) en materia de estructura ocupacional, movimientos salariales, percepciones extraordinarias y prestaciones, los cuales deberán ser observados por el Comité de Recursos Humanos y Desarrollo Institucional.</w:t>
            </w:r>
          </w:p>
        </w:tc>
        <w:tc>
          <w:tcPr>
            <w:tcW w:w="1134" w:type="dxa"/>
            <w:gridSpan w:val="2"/>
            <w:tcBorders>
              <w:top w:val="single" w:sz="4" w:space="0" w:color="auto"/>
              <w:left w:val="single" w:sz="4" w:space="0" w:color="auto"/>
              <w:bottom w:val="single" w:sz="4" w:space="0" w:color="auto"/>
              <w:right w:val="single" w:sz="4" w:space="0" w:color="auto"/>
            </w:tcBorders>
            <w:shd w:val="clear" w:color="auto" w:fill="76923C" w:themeFill="accent3" w:themeFillShade="BF"/>
          </w:tcPr>
          <w:p w:rsidR="00000052" w:rsidRPr="00C05725" w:rsidRDefault="00000052" w:rsidP="00000052"/>
        </w:tc>
        <w:tc>
          <w:tcPr>
            <w:tcW w:w="1191" w:type="dxa"/>
            <w:gridSpan w:val="2"/>
            <w:tcBorders>
              <w:top w:val="single" w:sz="4" w:space="0" w:color="auto"/>
              <w:left w:val="single" w:sz="4" w:space="0" w:color="auto"/>
              <w:bottom w:val="single" w:sz="4" w:space="0" w:color="auto"/>
              <w:right w:val="single" w:sz="4" w:space="0" w:color="auto"/>
            </w:tcBorders>
            <w:shd w:val="clear" w:color="auto" w:fill="76923C" w:themeFill="accent3" w:themeFillShade="BF"/>
          </w:tcPr>
          <w:p w:rsidR="00000052" w:rsidRPr="00C05725" w:rsidRDefault="00000052" w:rsidP="00000052"/>
        </w:tc>
        <w:tc>
          <w:tcPr>
            <w:tcW w:w="1127" w:type="dxa"/>
            <w:tcBorders>
              <w:top w:val="single" w:sz="4" w:space="0" w:color="auto"/>
              <w:left w:val="single" w:sz="4" w:space="0" w:color="auto"/>
              <w:bottom w:val="single" w:sz="4" w:space="0" w:color="auto"/>
              <w:right w:val="single" w:sz="4" w:space="0" w:color="auto"/>
            </w:tcBorders>
          </w:tcPr>
          <w:p w:rsidR="00000052" w:rsidRPr="00C05725" w:rsidRDefault="00000052" w:rsidP="00000052"/>
        </w:tc>
      </w:tr>
      <w:tr w:rsidR="00000052" w:rsidRPr="00C05725" w:rsidTr="000000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rPr>
        <w:tc>
          <w:tcPr>
            <w:tcW w:w="994" w:type="dxa"/>
            <w:tcBorders>
              <w:top w:val="single" w:sz="4" w:space="0" w:color="auto"/>
              <w:left w:val="single" w:sz="4" w:space="0" w:color="auto"/>
              <w:bottom w:val="single" w:sz="4" w:space="0" w:color="auto"/>
              <w:right w:val="single" w:sz="4" w:space="0" w:color="auto"/>
            </w:tcBorders>
            <w:vAlign w:val="center"/>
          </w:tcPr>
          <w:p w:rsidR="00000052" w:rsidRPr="00C05725" w:rsidRDefault="00000052" w:rsidP="00000052">
            <w:pPr>
              <w:ind w:firstLine="0"/>
              <w:jc w:val="left"/>
            </w:pPr>
            <w:r w:rsidRPr="00C05725">
              <w:t>Art. 44, Frac. I Bis</w:t>
            </w:r>
          </w:p>
        </w:tc>
        <w:tc>
          <w:tcPr>
            <w:tcW w:w="4678" w:type="dxa"/>
            <w:gridSpan w:val="2"/>
            <w:tcBorders>
              <w:top w:val="single" w:sz="4" w:space="0" w:color="auto"/>
              <w:left w:val="single" w:sz="4" w:space="0" w:color="auto"/>
              <w:bottom w:val="single" w:sz="4" w:space="0" w:color="auto"/>
              <w:right w:val="single" w:sz="4" w:space="0" w:color="auto"/>
            </w:tcBorders>
          </w:tcPr>
          <w:p w:rsidR="00000052" w:rsidRPr="00C05725" w:rsidRDefault="00000052" w:rsidP="00000052">
            <w:pPr>
              <w:ind w:firstLine="5"/>
            </w:pPr>
            <w:r w:rsidRPr="00C05725">
              <w:t>Determinar el procedimiento para identificar operaciones vinculadas con el objeto de las instituciones de la Banca de Desarrollo, a fin de informar a la SHCP, previa autorización de las instancias correspondientes.</w:t>
            </w:r>
          </w:p>
        </w:tc>
        <w:tc>
          <w:tcPr>
            <w:tcW w:w="1134" w:type="dxa"/>
            <w:gridSpan w:val="2"/>
            <w:tcBorders>
              <w:top w:val="single" w:sz="4" w:space="0" w:color="auto"/>
              <w:left w:val="single" w:sz="4" w:space="0" w:color="auto"/>
              <w:bottom w:val="single" w:sz="4" w:space="0" w:color="auto"/>
              <w:right w:val="single" w:sz="4" w:space="0" w:color="auto"/>
            </w:tcBorders>
            <w:shd w:val="clear" w:color="auto" w:fill="76923C" w:themeFill="accent3" w:themeFillShade="BF"/>
          </w:tcPr>
          <w:p w:rsidR="00000052" w:rsidRPr="00C05725" w:rsidRDefault="00000052" w:rsidP="00000052"/>
        </w:tc>
        <w:tc>
          <w:tcPr>
            <w:tcW w:w="1191" w:type="dxa"/>
            <w:gridSpan w:val="2"/>
            <w:tcBorders>
              <w:top w:val="single" w:sz="4" w:space="0" w:color="auto"/>
              <w:left w:val="single" w:sz="4" w:space="0" w:color="auto"/>
              <w:bottom w:val="single" w:sz="4" w:space="0" w:color="auto"/>
              <w:right w:val="single" w:sz="4" w:space="0" w:color="auto"/>
            </w:tcBorders>
            <w:shd w:val="clear" w:color="auto" w:fill="76923C" w:themeFill="accent3" w:themeFillShade="BF"/>
          </w:tcPr>
          <w:p w:rsidR="00000052" w:rsidRPr="00C05725" w:rsidRDefault="00000052" w:rsidP="00000052"/>
        </w:tc>
        <w:tc>
          <w:tcPr>
            <w:tcW w:w="1127" w:type="dxa"/>
            <w:tcBorders>
              <w:top w:val="single" w:sz="4" w:space="0" w:color="auto"/>
              <w:left w:val="single" w:sz="4" w:space="0" w:color="auto"/>
              <w:bottom w:val="single" w:sz="4" w:space="0" w:color="auto"/>
              <w:right w:val="single" w:sz="4" w:space="0" w:color="auto"/>
            </w:tcBorders>
          </w:tcPr>
          <w:p w:rsidR="00000052" w:rsidRPr="00C05725" w:rsidRDefault="00000052" w:rsidP="00000052"/>
        </w:tc>
      </w:tr>
      <w:tr w:rsidR="00000052" w:rsidRPr="00C05725" w:rsidTr="000000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rPr>
        <w:tc>
          <w:tcPr>
            <w:tcW w:w="994" w:type="dxa"/>
            <w:tcBorders>
              <w:top w:val="single" w:sz="4" w:space="0" w:color="auto"/>
              <w:left w:val="single" w:sz="4" w:space="0" w:color="auto"/>
              <w:bottom w:val="single" w:sz="4" w:space="0" w:color="auto"/>
              <w:right w:val="single" w:sz="4" w:space="0" w:color="auto"/>
            </w:tcBorders>
            <w:vAlign w:val="center"/>
          </w:tcPr>
          <w:p w:rsidR="00000052" w:rsidRPr="00C05725" w:rsidRDefault="00000052" w:rsidP="00000052">
            <w:pPr>
              <w:ind w:firstLine="0"/>
              <w:jc w:val="left"/>
            </w:pPr>
            <w:r w:rsidRPr="00C05725">
              <w:t xml:space="preserve">Art. 59 </w:t>
            </w:r>
            <w:r w:rsidRPr="00C05725">
              <w:lastRenderedPageBreak/>
              <w:t>Bis</w:t>
            </w:r>
          </w:p>
        </w:tc>
        <w:tc>
          <w:tcPr>
            <w:tcW w:w="4678" w:type="dxa"/>
            <w:gridSpan w:val="2"/>
            <w:tcBorders>
              <w:top w:val="single" w:sz="4" w:space="0" w:color="auto"/>
              <w:left w:val="single" w:sz="4" w:space="0" w:color="auto"/>
              <w:bottom w:val="single" w:sz="4" w:space="0" w:color="auto"/>
              <w:right w:val="single" w:sz="4" w:space="0" w:color="auto"/>
            </w:tcBorders>
          </w:tcPr>
          <w:p w:rsidR="00000052" w:rsidRPr="00C05725" w:rsidRDefault="00000052" w:rsidP="00000052">
            <w:pPr>
              <w:ind w:firstLine="5"/>
            </w:pPr>
            <w:r w:rsidRPr="00C05725">
              <w:lastRenderedPageBreak/>
              <w:t xml:space="preserve">Definir los conceptos de monto de operación, </w:t>
            </w:r>
            <w:r w:rsidRPr="00C05725">
              <w:lastRenderedPageBreak/>
              <w:t>quebranto o perjuicio patrimonial, para efecto de las sanciones y multas.</w:t>
            </w:r>
          </w:p>
        </w:tc>
        <w:tc>
          <w:tcPr>
            <w:tcW w:w="1134" w:type="dxa"/>
            <w:gridSpan w:val="2"/>
            <w:tcBorders>
              <w:top w:val="single" w:sz="4" w:space="0" w:color="auto"/>
              <w:left w:val="single" w:sz="4" w:space="0" w:color="auto"/>
              <w:bottom w:val="single" w:sz="4" w:space="0" w:color="auto"/>
              <w:right w:val="single" w:sz="4" w:space="0" w:color="auto"/>
            </w:tcBorders>
            <w:shd w:val="clear" w:color="auto" w:fill="76923C" w:themeFill="accent3" w:themeFillShade="BF"/>
          </w:tcPr>
          <w:p w:rsidR="00000052" w:rsidRPr="00C05725" w:rsidRDefault="00000052" w:rsidP="00000052"/>
        </w:tc>
        <w:tc>
          <w:tcPr>
            <w:tcW w:w="1191" w:type="dxa"/>
            <w:gridSpan w:val="2"/>
            <w:tcBorders>
              <w:top w:val="single" w:sz="4" w:space="0" w:color="auto"/>
              <w:left w:val="single" w:sz="4" w:space="0" w:color="auto"/>
              <w:bottom w:val="single" w:sz="4" w:space="0" w:color="auto"/>
              <w:right w:val="single" w:sz="4" w:space="0" w:color="auto"/>
            </w:tcBorders>
            <w:shd w:val="clear" w:color="auto" w:fill="76923C" w:themeFill="accent3" w:themeFillShade="BF"/>
          </w:tcPr>
          <w:p w:rsidR="00000052" w:rsidRPr="00C05725" w:rsidRDefault="00000052" w:rsidP="00000052"/>
        </w:tc>
        <w:tc>
          <w:tcPr>
            <w:tcW w:w="1127" w:type="dxa"/>
            <w:tcBorders>
              <w:top w:val="single" w:sz="4" w:space="0" w:color="auto"/>
              <w:left w:val="single" w:sz="4" w:space="0" w:color="auto"/>
              <w:bottom w:val="single" w:sz="4" w:space="0" w:color="auto"/>
              <w:right w:val="single" w:sz="4" w:space="0" w:color="auto"/>
            </w:tcBorders>
          </w:tcPr>
          <w:p w:rsidR="00000052" w:rsidRPr="00C05725" w:rsidRDefault="00000052" w:rsidP="00000052"/>
        </w:tc>
      </w:tr>
      <w:tr w:rsidR="00000052" w:rsidRPr="00C05725" w:rsidTr="000000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rPr>
        <w:tc>
          <w:tcPr>
            <w:tcW w:w="994" w:type="dxa"/>
            <w:tcBorders>
              <w:top w:val="single" w:sz="4" w:space="0" w:color="auto"/>
              <w:left w:val="single" w:sz="4" w:space="0" w:color="auto"/>
              <w:bottom w:val="single" w:sz="4" w:space="0" w:color="auto"/>
              <w:right w:val="single" w:sz="4" w:space="0" w:color="auto"/>
            </w:tcBorders>
            <w:vAlign w:val="center"/>
          </w:tcPr>
          <w:p w:rsidR="00000052" w:rsidRPr="00C05725" w:rsidRDefault="00000052" w:rsidP="00000052">
            <w:pPr>
              <w:ind w:firstLine="0"/>
              <w:jc w:val="left"/>
            </w:pPr>
            <w:r w:rsidRPr="00C05725">
              <w:t>Art. 61</w:t>
            </w:r>
          </w:p>
        </w:tc>
        <w:tc>
          <w:tcPr>
            <w:tcW w:w="4678" w:type="dxa"/>
            <w:gridSpan w:val="2"/>
            <w:tcBorders>
              <w:top w:val="single" w:sz="4" w:space="0" w:color="auto"/>
              <w:left w:val="single" w:sz="4" w:space="0" w:color="auto"/>
              <w:bottom w:val="single" w:sz="4" w:space="0" w:color="auto"/>
              <w:right w:val="single" w:sz="4" w:space="0" w:color="auto"/>
            </w:tcBorders>
          </w:tcPr>
          <w:p w:rsidR="00000052" w:rsidRPr="00C05725" w:rsidRDefault="00000052" w:rsidP="00000052">
            <w:pPr>
              <w:ind w:firstLine="5"/>
            </w:pPr>
            <w:r w:rsidRPr="00C05725">
              <w:t>Implementar los lineamientos que emita la SHCP, relativos a servicios de asistencia y defensa legal para los integrantes del Consejo Directivo, comités establecidos por el mismo y a los servidores públicos que laboren o hubieren laborado en la Institución, siempre que se trate de actos realizados en el desempeño de sus funciones o actividades al servicio de la Financiera Nacional.</w:t>
            </w:r>
          </w:p>
        </w:tc>
        <w:tc>
          <w:tcPr>
            <w:tcW w:w="1134" w:type="dxa"/>
            <w:gridSpan w:val="2"/>
            <w:tcBorders>
              <w:top w:val="single" w:sz="4" w:space="0" w:color="auto"/>
              <w:left w:val="single" w:sz="4" w:space="0" w:color="auto"/>
              <w:bottom w:val="single" w:sz="4" w:space="0" w:color="auto"/>
              <w:right w:val="single" w:sz="4" w:space="0" w:color="auto"/>
            </w:tcBorders>
            <w:shd w:val="clear" w:color="auto" w:fill="76923C" w:themeFill="accent3" w:themeFillShade="BF"/>
          </w:tcPr>
          <w:p w:rsidR="00000052" w:rsidRPr="00C05725" w:rsidRDefault="00000052" w:rsidP="00000052"/>
        </w:tc>
        <w:tc>
          <w:tcPr>
            <w:tcW w:w="1191" w:type="dxa"/>
            <w:gridSpan w:val="2"/>
            <w:tcBorders>
              <w:top w:val="single" w:sz="4" w:space="0" w:color="auto"/>
              <w:left w:val="single" w:sz="4" w:space="0" w:color="auto"/>
              <w:bottom w:val="single" w:sz="4" w:space="0" w:color="auto"/>
              <w:right w:val="single" w:sz="4" w:space="0" w:color="auto"/>
            </w:tcBorders>
            <w:shd w:val="clear" w:color="auto" w:fill="76923C" w:themeFill="accent3" w:themeFillShade="BF"/>
          </w:tcPr>
          <w:p w:rsidR="00000052" w:rsidRPr="00C05725" w:rsidRDefault="00000052" w:rsidP="00000052"/>
        </w:tc>
        <w:tc>
          <w:tcPr>
            <w:tcW w:w="1127" w:type="dxa"/>
            <w:tcBorders>
              <w:top w:val="single" w:sz="4" w:space="0" w:color="auto"/>
              <w:left w:val="single" w:sz="4" w:space="0" w:color="auto"/>
              <w:bottom w:val="single" w:sz="4" w:space="0" w:color="auto"/>
              <w:right w:val="single" w:sz="4" w:space="0" w:color="auto"/>
            </w:tcBorders>
          </w:tcPr>
          <w:p w:rsidR="00000052" w:rsidRPr="00C05725" w:rsidRDefault="00000052" w:rsidP="00000052"/>
        </w:tc>
      </w:tr>
    </w:tbl>
    <w:p w:rsidR="00000052" w:rsidRDefault="00000052" w:rsidP="00000052">
      <w:bookmarkStart w:id="19" w:name="_Toc259122276"/>
      <w:bookmarkStart w:id="20" w:name="_Toc386131532"/>
      <w:bookmarkStart w:id="21" w:name="_Toc259880922"/>
    </w:p>
    <w:p w:rsidR="00CB6CEA" w:rsidRPr="009A01F0" w:rsidRDefault="00AE77F6" w:rsidP="00C21A75">
      <w:pPr>
        <w:pStyle w:val="Ttulo1"/>
      </w:pPr>
      <w:r>
        <w:t>T</w:t>
      </w:r>
      <w:r w:rsidR="00CB6CEA" w:rsidRPr="009A01F0">
        <w:t>ransparencia</w:t>
      </w:r>
      <w:bookmarkEnd w:id="19"/>
      <w:bookmarkEnd w:id="20"/>
      <w:bookmarkEnd w:id="21"/>
    </w:p>
    <w:p w:rsidR="00CB6CEA" w:rsidRPr="00C21A75" w:rsidRDefault="00CB6CEA" w:rsidP="00C21A75"/>
    <w:p w:rsidR="00CB6CEA" w:rsidRPr="00C21A75" w:rsidRDefault="00CB6CEA" w:rsidP="00C21A75">
      <w:pPr>
        <w:pStyle w:val="Texto"/>
      </w:pPr>
      <w:r w:rsidRPr="00C21A75">
        <w:t xml:space="preserve">El Programa estará disponible a partir de su publicación en la sección de "Programas del Plan Nacional de Desarrollo" en la pestaña de Transparencia en la página: www.hacienda.gob.mx y en la página de la Financiera Nacional de Desarrollo Agropecuario, Rural, Forestal y Pesquero: </w:t>
      </w:r>
      <w:hyperlink r:id="rId43" w:history="1">
        <w:r w:rsidRPr="00B47F47">
          <w:rPr>
            <w:rStyle w:val="Hipervnculo"/>
            <w:rFonts w:eastAsia="MS Gothic"/>
            <w:color w:val="auto"/>
          </w:rPr>
          <w:t>www.financierarural.gob.mx</w:t>
        </w:r>
      </w:hyperlink>
      <w:r w:rsidRPr="00C21A75">
        <w:t>.</w:t>
      </w:r>
    </w:p>
    <w:p w:rsidR="00CB6CEA" w:rsidRPr="00C21A75" w:rsidRDefault="00CB6CEA" w:rsidP="00000052">
      <w:pPr>
        <w:pStyle w:val="Texto"/>
      </w:pPr>
    </w:p>
    <w:p w:rsidR="00CB6CEA" w:rsidRPr="00C21A75" w:rsidRDefault="00CB6CEA" w:rsidP="00B47F47">
      <w:pPr>
        <w:pStyle w:val="Texto"/>
        <w:jc w:val="left"/>
      </w:pPr>
      <w:r w:rsidRPr="00C21A75">
        <w:t xml:space="preserve">Asimismo, el seguimiento de los indicadores estará disponible en: </w:t>
      </w:r>
      <w:hyperlink r:id="rId44" w:history="1">
        <w:r w:rsidRPr="00C21A75">
          <w:t>www.transparenciapresupuestaria.gob.mx</w:t>
        </w:r>
      </w:hyperlink>
    </w:p>
    <w:p w:rsidR="003574A8" w:rsidRPr="00E87D2B" w:rsidRDefault="003574A8" w:rsidP="003574A8">
      <w:pPr>
        <w:rPr>
          <w:lang w:val="es-ES"/>
        </w:rPr>
      </w:pPr>
    </w:p>
    <w:p w:rsidR="003574A8" w:rsidRDefault="003574A8" w:rsidP="003574A8"/>
    <w:p w:rsidR="00CB6CEA" w:rsidRPr="003574A8" w:rsidRDefault="003574A8" w:rsidP="003574A8">
      <w:pPr>
        <w:ind w:firstLine="0"/>
      </w:pPr>
      <w:r>
        <w:t>México, D.F., a 29 de abril de 2014.- El Director General.- Lic. Juan Carlos Cortés Garcia.- Rúbrica.</w:t>
      </w:r>
    </w:p>
    <w:sectPr w:rsidR="00CB6CEA" w:rsidRPr="003574A8" w:rsidSect="00A921BC">
      <w:headerReference w:type="default" r:id="rId45"/>
      <w:footerReference w:type="default" r:id="rId46"/>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40AA" w:rsidRDefault="00A240AA" w:rsidP="00C21A75">
      <w:r>
        <w:separator/>
      </w:r>
    </w:p>
  </w:endnote>
  <w:endnote w:type="continuationSeparator" w:id="0">
    <w:p w:rsidR="00A240AA" w:rsidRDefault="00A240AA" w:rsidP="00C21A75">
      <w:r>
        <w:continuationSeparator/>
      </w:r>
    </w:p>
  </w:endnote>
  <w:endnote w:type="continuationNotice" w:id="1">
    <w:p w:rsidR="00A240AA" w:rsidRDefault="00A240AA" w:rsidP="00C21A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Caslon Pro">
    <w:panose1 w:val="0205050205050A020403"/>
    <w:charset w:val="00"/>
    <w:family w:val="roman"/>
    <w:pitch w:val="variable"/>
    <w:sig w:usb0="800000AF" w:usb1="5000205B" w:usb2="00000000" w:usb3="00000000" w:csb0="0000009B"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0740812"/>
      <w:docPartObj>
        <w:docPartGallery w:val="Page Numbers (Bottom of Page)"/>
        <w:docPartUnique/>
      </w:docPartObj>
    </w:sdtPr>
    <w:sdtEndPr/>
    <w:sdtContent>
      <w:p w:rsidR="0069725E" w:rsidRDefault="0069725E">
        <w:pPr>
          <w:pStyle w:val="Piedepgina"/>
          <w:jc w:val="center"/>
        </w:pPr>
        <w:r w:rsidRPr="006552DF">
          <w:fldChar w:fldCharType="begin"/>
        </w:r>
        <w:r>
          <w:instrText>PAGE   \* MERGEFORMAT</w:instrText>
        </w:r>
        <w:r w:rsidRPr="006552DF">
          <w:fldChar w:fldCharType="separate"/>
        </w:r>
        <w:r w:rsidR="003C0691" w:rsidRPr="003C0691">
          <w:rPr>
            <w:noProof/>
            <w:lang w:val="es-ES"/>
          </w:rPr>
          <w:t>1</w:t>
        </w:r>
        <w:r w:rsidRPr="006552DF">
          <w:rPr>
            <w:lang w:val="es-ES"/>
          </w:rPr>
          <w:fldChar w:fldCharType="end"/>
        </w:r>
      </w:p>
    </w:sdtContent>
  </w:sdt>
  <w:p w:rsidR="0069725E" w:rsidRDefault="0069725E" w:rsidP="00C21A7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40AA" w:rsidRDefault="00A240AA" w:rsidP="00C21A75">
      <w:r>
        <w:separator/>
      </w:r>
    </w:p>
  </w:footnote>
  <w:footnote w:type="continuationSeparator" w:id="0">
    <w:p w:rsidR="00A240AA" w:rsidRDefault="00A240AA" w:rsidP="00C21A75">
      <w:r>
        <w:continuationSeparator/>
      </w:r>
    </w:p>
  </w:footnote>
  <w:footnote w:type="continuationNotice" w:id="1">
    <w:p w:rsidR="00A240AA" w:rsidRDefault="00A240AA" w:rsidP="00C21A75"/>
  </w:footnote>
  <w:footnote w:id="2">
    <w:p w:rsidR="0069725E" w:rsidRPr="00230ECC" w:rsidRDefault="0069725E" w:rsidP="00C21A75">
      <w:pPr>
        <w:pStyle w:val="Textonotapie"/>
        <w:rPr>
          <w:rFonts w:ascii="Arial" w:hAnsi="Arial"/>
          <w:sz w:val="14"/>
          <w:szCs w:val="14"/>
        </w:rPr>
      </w:pPr>
      <w:r w:rsidRPr="00230ECC">
        <w:rPr>
          <w:rStyle w:val="Refdenotaalpie"/>
          <w:rFonts w:ascii="Arial" w:hAnsi="Arial"/>
          <w:sz w:val="14"/>
          <w:szCs w:val="14"/>
        </w:rPr>
        <w:footnoteRef/>
      </w:r>
      <w:r w:rsidRPr="00230ECC">
        <w:rPr>
          <w:rFonts w:ascii="Arial" w:hAnsi="Arial"/>
          <w:sz w:val="14"/>
          <w:szCs w:val="14"/>
        </w:rPr>
        <w:t xml:space="preserve"> “Compendio de indicadores estratégicos del sector rural y pesquero”, 2010.</w:t>
      </w:r>
    </w:p>
  </w:footnote>
  <w:footnote w:id="3">
    <w:p w:rsidR="0069725E" w:rsidRPr="00AB37F0" w:rsidRDefault="0069725E" w:rsidP="00000052">
      <w:pPr>
        <w:pStyle w:val="Textonotapie"/>
        <w:rPr>
          <w:sz w:val="18"/>
          <w:lang w:val="es-ES"/>
        </w:rPr>
      </w:pPr>
      <w:r w:rsidRPr="00B47F47">
        <w:rPr>
          <w:rStyle w:val="Refdenotaalpie"/>
          <w:rFonts w:ascii="Arial" w:hAnsi="Arial"/>
          <w:sz w:val="14"/>
        </w:rPr>
        <w:footnoteRef/>
      </w:r>
      <w:r w:rsidRPr="00B47F47">
        <w:rPr>
          <w:rFonts w:ascii="Arial" w:hAnsi="Arial"/>
          <w:sz w:val="14"/>
        </w:rPr>
        <w:t xml:space="preserve"> </w:t>
      </w:r>
      <w:r w:rsidRPr="00B47F47">
        <w:rPr>
          <w:rFonts w:ascii="Arial" w:hAnsi="Arial"/>
          <w:sz w:val="14"/>
          <w:lang w:val="es-ES"/>
        </w:rPr>
        <w:t>Cobertura a 1,912 de los 2,456 municipios del país con base en datos del INEGI, 2010.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25E" w:rsidRDefault="0069725E" w:rsidP="00B47F47">
    <w:pPr>
      <w:pStyle w:val="Encabezado"/>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5CDE178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5C70ED"/>
    <w:multiLevelType w:val="hybridMultilevel"/>
    <w:tmpl w:val="2424DE4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0A6D2F30"/>
    <w:multiLevelType w:val="multilevel"/>
    <w:tmpl w:val="04E411C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D756C0E"/>
    <w:multiLevelType w:val="hybridMultilevel"/>
    <w:tmpl w:val="54221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A278C1"/>
    <w:multiLevelType w:val="multilevel"/>
    <w:tmpl w:val="D1F88EE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DC4714"/>
    <w:multiLevelType w:val="hybridMultilevel"/>
    <w:tmpl w:val="FD3C6A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323BCF"/>
    <w:multiLevelType w:val="hybridMultilevel"/>
    <w:tmpl w:val="71AAE5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A2538EB"/>
    <w:multiLevelType w:val="hybridMultilevel"/>
    <w:tmpl w:val="7FA44F7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8" w15:restartNumberingAfterBreak="0">
    <w:nsid w:val="1B682D69"/>
    <w:multiLevelType w:val="hybridMultilevel"/>
    <w:tmpl w:val="A34C3F84"/>
    <w:lvl w:ilvl="0" w:tplc="0C0A001B">
      <w:start w:val="1"/>
      <w:numFmt w:val="lowerRoman"/>
      <w:lvlText w:val="%1."/>
      <w:lvlJc w:val="righ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9" w15:restartNumberingAfterBreak="0">
    <w:nsid w:val="1EC34737"/>
    <w:multiLevelType w:val="multilevel"/>
    <w:tmpl w:val="080A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EE90F5A"/>
    <w:multiLevelType w:val="hybridMultilevel"/>
    <w:tmpl w:val="5936CF26"/>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1" w15:restartNumberingAfterBreak="0">
    <w:nsid w:val="1F180C27"/>
    <w:multiLevelType w:val="hybridMultilevel"/>
    <w:tmpl w:val="C436C7E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15:restartNumberingAfterBreak="0">
    <w:nsid w:val="247265AD"/>
    <w:multiLevelType w:val="hybridMultilevel"/>
    <w:tmpl w:val="FE768FE2"/>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3" w15:restartNumberingAfterBreak="0">
    <w:nsid w:val="26A255B2"/>
    <w:multiLevelType w:val="multilevel"/>
    <w:tmpl w:val="C4E40D98"/>
    <w:lvl w:ilvl="0">
      <w:start w:val="1"/>
      <w:numFmt w:val="upperRoman"/>
      <w:lvlText w:val="%1."/>
      <w:lvlJc w:val="right"/>
      <w:pPr>
        <w:ind w:left="360" w:hanging="360"/>
      </w:pPr>
      <w:rPr>
        <w:rFonts w:ascii="Adobe Caslon Pro" w:hAnsi="Adobe Caslon Pro" w:hint="default"/>
        <w:color w:val="auto"/>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94D2D79"/>
    <w:multiLevelType w:val="hybridMultilevel"/>
    <w:tmpl w:val="4CE6808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5" w15:restartNumberingAfterBreak="0">
    <w:nsid w:val="297F2E36"/>
    <w:multiLevelType w:val="hybridMultilevel"/>
    <w:tmpl w:val="1B0E4D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ED56DEE"/>
    <w:multiLevelType w:val="hybridMultilevel"/>
    <w:tmpl w:val="503C5C6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7" w15:restartNumberingAfterBreak="0">
    <w:nsid w:val="31BD5248"/>
    <w:multiLevelType w:val="hybridMultilevel"/>
    <w:tmpl w:val="9296E6C4"/>
    <w:lvl w:ilvl="0" w:tplc="F970EDF6">
      <w:numFmt w:val="bullet"/>
      <w:lvlText w:val=""/>
      <w:lvlJc w:val="left"/>
      <w:pPr>
        <w:ind w:left="720" w:hanging="360"/>
      </w:pPr>
      <w:rPr>
        <w:rFonts w:ascii="Symbol" w:eastAsia="Calibri" w:hAnsi="Symbol" w:cs="Times New Roman"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8D3404C"/>
    <w:multiLevelType w:val="hybridMultilevel"/>
    <w:tmpl w:val="C2A60D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8E27DB7"/>
    <w:multiLevelType w:val="hybridMultilevel"/>
    <w:tmpl w:val="7584CB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9F64B68"/>
    <w:multiLevelType w:val="hybridMultilevel"/>
    <w:tmpl w:val="472E24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C484B1B"/>
    <w:multiLevelType w:val="multilevel"/>
    <w:tmpl w:val="5F665E18"/>
    <w:lvl w:ilvl="0">
      <w:start w:val="1"/>
      <w:numFmt w:val="upperRoman"/>
      <w:pStyle w:val="Ttulo1"/>
      <w:lvlText w:val="%1."/>
      <w:lvlJc w:val="right"/>
      <w:pPr>
        <w:ind w:left="360" w:hanging="360"/>
      </w:pPr>
      <w:rPr>
        <w:rFonts w:ascii="Arial" w:hAnsi="Arial" w:hint="default"/>
        <w:color w:val="auto"/>
        <w:sz w:val="18"/>
        <w:szCs w:val="18"/>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E6E4A03"/>
    <w:multiLevelType w:val="hybridMultilevel"/>
    <w:tmpl w:val="2228CB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103525E"/>
    <w:multiLevelType w:val="hybridMultilevel"/>
    <w:tmpl w:val="5352D3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2B30331"/>
    <w:multiLevelType w:val="hybridMultilevel"/>
    <w:tmpl w:val="7500F906"/>
    <w:lvl w:ilvl="0" w:tplc="1C10D4C0">
      <w:numFmt w:val="bullet"/>
      <w:pStyle w:val="Prrafodelista"/>
      <w:lvlText w:val="•"/>
      <w:lvlJc w:val="left"/>
      <w:pPr>
        <w:ind w:left="1065" w:hanging="705"/>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C8A023C"/>
    <w:multiLevelType w:val="hybridMultilevel"/>
    <w:tmpl w:val="EE1C43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04368FB"/>
    <w:multiLevelType w:val="hybridMultilevel"/>
    <w:tmpl w:val="E6668D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74C37CC"/>
    <w:multiLevelType w:val="multilevel"/>
    <w:tmpl w:val="B68832E8"/>
    <w:lvl w:ilvl="0">
      <w:start w:val="1"/>
      <w:numFmt w:val="upperRoman"/>
      <w:lvlText w:val="%1."/>
      <w:lvlJc w:val="righ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12062C0"/>
    <w:multiLevelType w:val="multilevel"/>
    <w:tmpl w:val="387EA678"/>
    <w:lvl w:ilvl="0">
      <w:start w:val="2"/>
      <w:numFmt w:val="decimal"/>
      <w:lvlText w:val="%1."/>
      <w:lvlJc w:val="left"/>
      <w:pPr>
        <w:ind w:left="360" w:hanging="360"/>
      </w:pPr>
      <w:rPr>
        <w:rFonts w:ascii="Arial" w:eastAsia="Times New Roman" w:hAnsi="Arial" w:cs="Arial" w:hint="default"/>
        <w:b w:val="0"/>
        <w:sz w:val="18"/>
      </w:rPr>
    </w:lvl>
    <w:lvl w:ilvl="1">
      <w:start w:val="1"/>
      <w:numFmt w:val="decimal"/>
      <w:lvlText w:val="%1.%2."/>
      <w:lvlJc w:val="left"/>
      <w:pPr>
        <w:ind w:left="720" w:hanging="720"/>
      </w:pPr>
      <w:rPr>
        <w:rFonts w:ascii="Arial" w:eastAsia="Times New Roman" w:hAnsi="Arial" w:cs="Arial" w:hint="default"/>
        <w:b w:val="0"/>
        <w:sz w:val="18"/>
      </w:rPr>
    </w:lvl>
    <w:lvl w:ilvl="2">
      <w:start w:val="1"/>
      <w:numFmt w:val="decimal"/>
      <w:lvlText w:val="%1.%2.%3."/>
      <w:lvlJc w:val="left"/>
      <w:pPr>
        <w:ind w:left="720" w:hanging="720"/>
      </w:pPr>
      <w:rPr>
        <w:rFonts w:ascii="Arial" w:eastAsia="Times New Roman" w:hAnsi="Arial" w:cs="Arial" w:hint="default"/>
        <w:b w:val="0"/>
        <w:sz w:val="18"/>
      </w:rPr>
    </w:lvl>
    <w:lvl w:ilvl="3">
      <w:start w:val="1"/>
      <w:numFmt w:val="decimal"/>
      <w:lvlText w:val="%1.%2.%3.%4."/>
      <w:lvlJc w:val="left"/>
      <w:pPr>
        <w:ind w:left="1080" w:hanging="1080"/>
      </w:pPr>
      <w:rPr>
        <w:rFonts w:ascii="Arial" w:eastAsia="Times New Roman" w:hAnsi="Arial" w:cs="Arial" w:hint="default"/>
        <w:b w:val="0"/>
        <w:sz w:val="18"/>
      </w:rPr>
    </w:lvl>
    <w:lvl w:ilvl="4">
      <w:start w:val="1"/>
      <w:numFmt w:val="decimal"/>
      <w:lvlText w:val="%1.%2.%3.%4.%5."/>
      <w:lvlJc w:val="left"/>
      <w:pPr>
        <w:ind w:left="1080" w:hanging="1080"/>
      </w:pPr>
      <w:rPr>
        <w:rFonts w:ascii="Arial" w:eastAsia="Times New Roman" w:hAnsi="Arial" w:cs="Arial" w:hint="default"/>
        <w:b w:val="0"/>
        <w:sz w:val="18"/>
      </w:rPr>
    </w:lvl>
    <w:lvl w:ilvl="5">
      <w:start w:val="1"/>
      <w:numFmt w:val="decimal"/>
      <w:lvlText w:val="%1.%2.%3.%4.%5.%6."/>
      <w:lvlJc w:val="left"/>
      <w:pPr>
        <w:ind w:left="1440" w:hanging="1440"/>
      </w:pPr>
      <w:rPr>
        <w:rFonts w:ascii="Arial" w:eastAsia="Times New Roman" w:hAnsi="Arial" w:cs="Arial" w:hint="default"/>
        <w:b w:val="0"/>
        <w:sz w:val="18"/>
      </w:rPr>
    </w:lvl>
    <w:lvl w:ilvl="6">
      <w:start w:val="1"/>
      <w:numFmt w:val="decimal"/>
      <w:lvlText w:val="%1.%2.%3.%4.%5.%6.%7."/>
      <w:lvlJc w:val="left"/>
      <w:pPr>
        <w:ind w:left="1440" w:hanging="1440"/>
      </w:pPr>
      <w:rPr>
        <w:rFonts w:ascii="Arial" w:eastAsia="Times New Roman" w:hAnsi="Arial" w:cs="Arial" w:hint="default"/>
        <w:b w:val="0"/>
        <w:sz w:val="18"/>
      </w:rPr>
    </w:lvl>
    <w:lvl w:ilvl="7">
      <w:start w:val="1"/>
      <w:numFmt w:val="decimal"/>
      <w:lvlText w:val="%1.%2.%3.%4.%5.%6.%7.%8."/>
      <w:lvlJc w:val="left"/>
      <w:pPr>
        <w:ind w:left="1800" w:hanging="1800"/>
      </w:pPr>
      <w:rPr>
        <w:rFonts w:ascii="Arial" w:eastAsia="Times New Roman" w:hAnsi="Arial" w:cs="Arial" w:hint="default"/>
        <w:b w:val="0"/>
        <w:sz w:val="18"/>
      </w:rPr>
    </w:lvl>
    <w:lvl w:ilvl="8">
      <w:start w:val="1"/>
      <w:numFmt w:val="decimal"/>
      <w:lvlText w:val="%1.%2.%3.%4.%5.%6.%7.%8.%9."/>
      <w:lvlJc w:val="left"/>
      <w:pPr>
        <w:ind w:left="1800" w:hanging="1800"/>
      </w:pPr>
      <w:rPr>
        <w:rFonts w:ascii="Arial" w:eastAsia="Times New Roman" w:hAnsi="Arial" w:cs="Arial" w:hint="default"/>
        <w:b w:val="0"/>
        <w:sz w:val="18"/>
      </w:rPr>
    </w:lvl>
  </w:abstractNum>
  <w:abstractNum w:abstractNumId="29" w15:restartNumberingAfterBreak="0">
    <w:nsid w:val="6125218F"/>
    <w:multiLevelType w:val="hybridMultilevel"/>
    <w:tmpl w:val="5704BFB2"/>
    <w:lvl w:ilvl="0" w:tplc="CEF06A10">
      <w:start w:val="1"/>
      <w:numFmt w:val="lowerRoman"/>
      <w:lvlText w:val="%1)"/>
      <w:lvlJc w:val="left"/>
      <w:pPr>
        <w:ind w:left="1125" w:hanging="720"/>
      </w:pPr>
      <w:rPr>
        <w:rFonts w:hint="default"/>
      </w:rPr>
    </w:lvl>
    <w:lvl w:ilvl="1" w:tplc="080A0019" w:tentative="1">
      <w:start w:val="1"/>
      <w:numFmt w:val="lowerLetter"/>
      <w:lvlText w:val="%2."/>
      <w:lvlJc w:val="left"/>
      <w:pPr>
        <w:ind w:left="1485" w:hanging="360"/>
      </w:pPr>
    </w:lvl>
    <w:lvl w:ilvl="2" w:tplc="080A001B" w:tentative="1">
      <w:start w:val="1"/>
      <w:numFmt w:val="lowerRoman"/>
      <w:lvlText w:val="%3."/>
      <w:lvlJc w:val="right"/>
      <w:pPr>
        <w:ind w:left="2205" w:hanging="180"/>
      </w:pPr>
    </w:lvl>
    <w:lvl w:ilvl="3" w:tplc="080A000F" w:tentative="1">
      <w:start w:val="1"/>
      <w:numFmt w:val="decimal"/>
      <w:lvlText w:val="%4."/>
      <w:lvlJc w:val="left"/>
      <w:pPr>
        <w:ind w:left="2925" w:hanging="360"/>
      </w:pPr>
    </w:lvl>
    <w:lvl w:ilvl="4" w:tplc="080A0019" w:tentative="1">
      <w:start w:val="1"/>
      <w:numFmt w:val="lowerLetter"/>
      <w:lvlText w:val="%5."/>
      <w:lvlJc w:val="left"/>
      <w:pPr>
        <w:ind w:left="3645" w:hanging="360"/>
      </w:pPr>
    </w:lvl>
    <w:lvl w:ilvl="5" w:tplc="080A001B" w:tentative="1">
      <w:start w:val="1"/>
      <w:numFmt w:val="lowerRoman"/>
      <w:lvlText w:val="%6."/>
      <w:lvlJc w:val="right"/>
      <w:pPr>
        <w:ind w:left="4365" w:hanging="180"/>
      </w:pPr>
    </w:lvl>
    <w:lvl w:ilvl="6" w:tplc="080A000F" w:tentative="1">
      <w:start w:val="1"/>
      <w:numFmt w:val="decimal"/>
      <w:lvlText w:val="%7."/>
      <w:lvlJc w:val="left"/>
      <w:pPr>
        <w:ind w:left="5085" w:hanging="360"/>
      </w:pPr>
    </w:lvl>
    <w:lvl w:ilvl="7" w:tplc="080A0019" w:tentative="1">
      <w:start w:val="1"/>
      <w:numFmt w:val="lowerLetter"/>
      <w:lvlText w:val="%8."/>
      <w:lvlJc w:val="left"/>
      <w:pPr>
        <w:ind w:left="5805" w:hanging="360"/>
      </w:pPr>
    </w:lvl>
    <w:lvl w:ilvl="8" w:tplc="080A001B" w:tentative="1">
      <w:start w:val="1"/>
      <w:numFmt w:val="lowerRoman"/>
      <w:lvlText w:val="%9."/>
      <w:lvlJc w:val="right"/>
      <w:pPr>
        <w:ind w:left="6525" w:hanging="180"/>
      </w:pPr>
    </w:lvl>
  </w:abstractNum>
  <w:abstractNum w:abstractNumId="30" w15:restartNumberingAfterBreak="0">
    <w:nsid w:val="64D102A3"/>
    <w:multiLevelType w:val="hybridMultilevel"/>
    <w:tmpl w:val="0C8CC43E"/>
    <w:lvl w:ilvl="0" w:tplc="D302ADB2">
      <w:start w:val="1"/>
      <w:numFmt w:val="bullet"/>
      <w:lvlText w:val=""/>
      <w:lvlJc w:val="left"/>
      <w:pPr>
        <w:ind w:left="720" w:hanging="360"/>
      </w:pPr>
      <w:rPr>
        <w:rFonts w:ascii="Symbol" w:eastAsia="Cambria"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92E6A9C"/>
    <w:multiLevelType w:val="hybridMultilevel"/>
    <w:tmpl w:val="4DCA90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6CBD6EF6"/>
    <w:multiLevelType w:val="hybridMultilevel"/>
    <w:tmpl w:val="62FCB2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50104AD"/>
    <w:multiLevelType w:val="multilevel"/>
    <w:tmpl w:val="FAD6A8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81C1BF4"/>
    <w:multiLevelType w:val="hybridMultilevel"/>
    <w:tmpl w:val="297E27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9A75F52"/>
    <w:multiLevelType w:val="multilevel"/>
    <w:tmpl w:val="C4E40D98"/>
    <w:lvl w:ilvl="0">
      <w:start w:val="1"/>
      <w:numFmt w:val="upperRoman"/>
      <w:lvlText w:val="%1."/>
      <w:lvlJc w:val="right"/>
      <w:pPr>
        <w:ind w:left="360" w:hanging="360"/>
      </w:pPr>
      <w:rPr>
        <w:rFonts w:ascii="Adobe Caslon Pro" w:hAnsi="Adobe Caslon Pro" w:hint="default"/>
        <w:color w:val="auto"/>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B151EE2"/>
    <w:multiLevelType w:val="hybridMultilevel"/>
    <w:tmpl w:val="0D8292E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9"/>
  </w:num>
  <w:num w:numId="2">
    <w:abstractNumId w:val="34"/>
  </w:num>
  <w:num w:numId="3">
    <w:abstractNumId w:val="18"/>
  </w:num>
  <w:num w:numId="4">
    <w:abstractNumId w:val="21"/>
  </w:num>
  <w:num w:numId="5">
    <w:abstractNumId w:val="31"/>
  </w:num>
  <w:num w:numId="6">
    <w:abstractNumId w:val="27"/>
  </w:num>
  <w:num w:numId="7">
    <w:abstractNumId w:val="4"/>
  </w:num>
  <w:num w:numId="8">
    <w:abstractNumId w:val="28"/>
  </w:num>
  <w:num w:numId="9">
    <w:abstractNumId w:val="2"/>
  </w:num>
  <w:num w:numId="10">
    <w:abstractNumId w:val="15"/>
  </w:num>
  <w:num w:numId="11">
    <w:abstractNumId w:val="36"/>
  </w:num>
  <w:num w:numId="12">
    <w:abstractNumId w:val="29"/>
  </w:num>
  <w:num w:numId="13">
    <w:abstractNumId w:val="8"/>
  </w:num>
  <w:num w:numId="14">
    <w:abstractNumId w:val="33"/>
  </w:num>
  <w:num w:numId="15">
    <w:abstractNumId w:val="17"/>
  </w:num>
  <w:num w:numId="16">
    <w:abstractNumId w:val="30"/>
  </w:num>
  <w:num w:numId="17">
    <w:abstractNumId w:val="20"/>
  </w:num>
  <w:num w:numId="18">
    <w:abstractNumId w:val="32"/>
  </w:num>
  <w:num w:numId="19">
    <w:abstractNumId w:val="3"/>
  </w:num>
  <w:num w:numId="20">
    <w:abstractNumId w:val="22"/>
  </w:num>
  <w:num w:numId="21">
    <w:abstractNumId w:val="14"/>
  </w:num>
  <w:num w:numId="22">
    <w:abstractNumId w:val="7"/>
  </w:num>
  <w:num w:numId="23">
    <w:abstractNumId w:val="16"/>
  </w:num>
  <w:num w:numId="24">
    <w:abstractNumId w:val="11"/>
  </w:num>
  <w:num w:numId="25">
    <w:abstractNumId w:val="25"/>
  </w:num>
  <w:num w:numId="26">
    <w:abstractNumId w:val="23"/>
  </w:num>
  <w:num w:numId="27">
    <w:abstractNumId w:val="26"/>
  </w:num>
  <w:num w:numId="28">
    <w:abstractNumId w:val="19"/>
  </w:num>
  <w:num w:numId="29">
    <w:abstractNumId w:val="6"/>
  </w:num>
  <w:num w:numId="30">
    <w:abstractNumId w:val="24"/>
  </w:num>
  <w:num w:numId="31">
    <w:abstractNumId w:val="1"/>
  </w:num>
  <w:num w:numId="32">
    <w:abstractNumId w:val="10"/>
  </w:num>
  <w:num w:numId="33">
    <w:abstractNumId w:val="5"/>
  </w:num>
  <w:num w:numId="34">
    <w:abstractNumId w:val="21"/>
  </w:num>
  <w:num w:numId="35">
    <w:abstractNumId w:val="21"/>
  </w:num>
  <w:num w:numId="36">
    <w:abstractNumId w:val="21"/>
  </w:num>
  <w:num w:numId="37">
    <w:abstractNumId w:val="21"/>
  </w:num>
  <w:num w:numId="38">
    <w:abstractNumId w:val="0"/>
  </w:num>
  <w:num w:numId="39">
    <w:abstractNumId w:val="35"/>
  </w:num>
  <w:num w:numId="40">
    <w:abstractNumId w:val="13"/>
  </w:num>
  <w:num w:numId="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embedSystemFonts/>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CEA"/>
    <w:rsid w:val="00000052"/>
    <w:rsid w:val="00000F35"/>
    <w:rsid w:val="000203A0"/>
    <w:rsid w:val="000349CC"/>
    <w:rsid w:val="00037EA9"/>
    <w:rsid w:val="00044FAE"/>
    <w:rsid w:val="00050468"/>
    <w:rsid w:val="000537B7"/>
    <w:rsid w:val="00060B25"/>
    <w:rsid w:val="00065C05"/>
    <w:rsid w:val="00065E05"/>
    <w:rsid w:val="00066A09"/>
    <w:rsid w:val="000705E3"/>
    <w:rsid w:val="00070F7E"/>
    <w:rsid w:val="00074E9A"/>
    <w:rsid w:val="00081F30"/>
    <w:rsid w:val="000839B9"/>
    <w:rsid w:val="0008558A"/>
    <w:rsid w:val="0008647E"/>
    <w:rsid w:val="00086994"/>
    <w:rsid w:val="00096637"/>
    <w:rsid w:val="000A2EBA"/>
    <w:rsid w:val="000A4D17"/>
    <w:rsid w:val="000A5896"/>
    <w:rsid w:val="000A6AB9"/>
    <w:rsid w:val="000B2D11"/>
    <w:rsid w:val="000B4F52"/>
    <w:rsid w:val="000C1DD7"/>
    <w:rsid w:val="000C58C6"/>
    <w:rsid w:val="000C65C9"/>
    <w:rsid w:val="000D2CB1"/>
    <w:rsid w:val="000E6747"/>
    <w:rsid w:val="000F6EDD"/>
    <w:rsid w:val="000F7488"/>
    <w:rsid w:val="000F7FCC"/>
    <w:rsid w:val="00105EAC"/>
    <w:rsid w:val="00116410"/>
    <w:rsid w:val="00121543"/>
    <w:rsid w:val="001219A5"/>
    <w:rsid w:val="00121D4E"/>
    <w:rsid w:val="0012326D"/>
    <w:rsid w:val="00130658"/>
    <w:rsid w:val="00134D8B"/>
    <w:rsid w:val="00144010"/>
    <w:rsid w:val="00150C11"/>
    <w:rsid w:val="00151BD1"/>
    <w:rsid w:val="0015288B"/>
    <w:rsid w:val="00166BD1"/>
    <w:rsid w:val="00170382"/>
    <w:rsid w:val="00172FFC"/>
    <w:rsid w:val="00173B65"/>
    <w:rsid w:val="00173C13"/>
    <w:rsid w:val="00174F45"/>
    <w:rsid w:val="00175B7B"/>
    <w:rsid w:val="0017656B"/>
    <w:rsid w:val="001806F7"/>
    <w:rsid w:val="00190665"/>
    <w:rsid w:val="00190B1E"/>
    <w:rsid w:val="00194C46"/>
    <w:rsid w:val="001A6FF9"/>
    <w:rsid w:val="001A78BC"/>
    <w:rsid w:val="001C2BF1"/>
    <w:rsid w:val="001C47E0"/>
    <w:rsid w:val="001D1049"/>
    <w:rsid w:val="001D1589"/>
    <w:rsid w:val="001D4F8A"/>
    <w:rsid w:val="001D5DA6"/>
    <w:rsid w:val="001D6B13"/>
    <w:rsid w:val="001E23A5"/>
    <w:rsid w:val="001E60AF"/>
    <w:rsid w:val="002019F4"/>
    <w:rsid w:val="00211686"/>
    <w:rsid w:val="002204DA"/>
    <w:rsid w:val="00224830"/>
    <w:rsid w:val="00224982"/>
    <w:rsid w:val="002264CB"/>
    <w:rsid w:val="00230ECC"/>
    <w:rsid w:val="002459CE"/>
    <w:rsid w:val="00246177"/>
    <w:rsid w:val="0025015D"/>
    <w:rsid w:val="00250D69"/>
    <w:rsid w:val="002524B4"/>
    <w:rsid w:val="00262DBD"/>
    <w:rsid w:val="002643BF"/>
    <w:rsid w:val="002769E4"/>
    <w:rsid w:val="002774B5"/>
    <w:rsid w:val="00277DEF"/>
    <w:rsid w:val="002857CF"/>
    <w:rsid w:val="00286193"/>
    <w:rsid w:val="00291EEA"/>
    <w:rsid w:val="00294D53"/>
    <w:rsid w:val="00296B12"/>
    <w:rsid w:val="00296F8F"/>
    <w:rsid w:val="002A03CE"/>
    <w:rsid w:val="002A0651"/>
    <w:rsid w:val="002A0A1C"/>
    <w:rsid w:val="002A565D"/>
    <w:rsid w:val="002A5793"/>
    <w:rsid w:val="002A7898"/>
    <w:rsid w:val="002C43BC"/>
    <w:rsid w:val="002C4A43"/>
    <w:rsid w:val="002C6414"/>
    <w:rsid w:val="002D062A"/>
    <w:rsid w:val="002D09F2"/>
    <w:rsid w:val="002D63ED"/>
    <w:rsid w:val="002E2619"/>
    <w:rsid w:val="002E50F5"/>
    <w:rsid w:val="002E7AA2"/>
    <w:rsid w:val="00307970"/>
    <w:rsid w:val="003141BE"/>
    <w:rsid w:val="00316D6E"/>
    <w:rsid w:val="00323235"/>
    <w:rsid w:val="00325C70"/>
    <w:rsid w:val="0032700C"/>
    <w:rsid w:val="00327E44"/>
    <w:rsid w:val="00330754"/>
    <w:rsid w:val="00336FEF"/>
    <w:rsid w:val="0034078C"/>
    <w:rsid w:val="003445CD"/>
    <w:rsid w:val="00345FDB"/>
    <w:rsid w:val="003471FC"/>
    <w:rsid w:val="0035210D"/>
    <w:rsid w:val="0035699A"/>
    <w:rsid w:val="003574A8"/>
    <w:rsid w:val="00364949"/>
    <w:rsid w:val="003748CB"/>
    <w:rsid w:val="003814D5"/>
    <w:rsid w:val="00395C77"/>
    <w:rsid w:val="003A0D1F"/>
    <w:rsid w:val="003A1FA0"/>
    <w:rsid w:val="003A3D2A"/>
    <w:rsid w:val="003A5E80"/>
    <w:rsid w:val="003A7DC5"/>
    <w:rsid w:val="003B1890"/>
    <w:rsid w:val="003B2700"/>
    <w:rsid w:val="003B50A9"/>
    <w:rsid w:val="003B767E"/>
    <w:rsid w:val="003C0691"/>
    <w:rsid w:val="003C152C"/>
    <w:rsid w:val="003C58D2"/>
    <w:rsid w:val="003C62D8"/>
    <w:rsid w:val="003C7A49"/>
    <w:rsid w:val="003C7C7C"/>
    <w:rsid w:val="003D138B"/>
    <w:rsid w:val="003D2CE9"/>
    <w:rsid w:val="003D421F"/>
    <w:rsid w:val="003E37FD"/>
    <w:rsid w:val="003E41AA"/>
    <w:rsid w:val="003E4DC6"/>
    <w:rsid w:val="003E5B43"/>
    <w:rsid w:val="003E6A75"/>
    <w:rsid w:val="003F1BEA"/>
    <w:rsid w:val="003F243D"/>
    <w:rsid w:val="003F7480"/>
    <w:rsid w:val="0040105D"/>
    <w:rsid w:val="00401744"/>
    <w:rsid w:val="00405F1E"/>
    <w:rsid w:val="00410922"/>
    <w:rsid w:val="00411E72"/>
    <w:rsid w:val="00432B67"/>
    <w:rsid w:val="00435A4B"/>
    <w:rsid w:val="0043710C"/>
    <w:rsid w:val="0044297F"/>
    <w:rsid w:val="00446BEA"/>
    <w:rsid w:val="0045046F"/>
    <w:rsid w:val="00457863"/>
    <w:rsid w:val="00460FC4"/>
    <w:rsid w:val="00461BFD"/>
    <w:rsid w:val="004650FD"/>
    <w:rsid w:val="004733A5"/>
    <w:rsid w:val="00483BF1"/>
    <w:rsid w:val="004938B0"/>
    <w:rsid w:val="004A4F27"/>
    <w:rsid w:val="004A5575"/>
    <w:rsid w:val="004B1066"/>
    <w:rsid w:val="004B4BC2"/>
    <w:rsid w:val="004C1DF5"/>
    <w:rsid w:val="004C2A59"/>
    <w:rsid w:val="004C65CF"/>
    <w:rsid w:val="004C7834"/>
    <w:rsid w:val="004E0698"/>
    <w:rsid w:val="004F42B4"/>
    <w:rsid w:val="004F6010"/>
    <w:rsid w:val="00513573"/>
    <w:rsid w:val="00517610"/>
    <w:rsid w:val="00524080"/>
    <w:rsid w:val="0053607F"/>
    <w:rsid w:val="005403A4"/>
    <w:rsid w:val="00544359"/>
    <w:rsid w:val="005443D9"/>
    <w:rsid w:val="00546487"/>
    <w:rsid w:val="00552BE1"/>
    <w:rsid w:val="005537EB"/>
    <w:rsid w:val="005570D9"/>
    <w:rsid w:val="00564669"/>
    <w:rsid w:val="005646F2"/>
    <w:rsid w:val="0056527C"/>
    <w:rsid w:val="00567604"/>
    <w:rsid w:val="00567864"/>
    <w:rsid w:val="00573D76"/>
    <w:rsid w:val="00574879"/>
    <w:rsid w:val="0057498B"/>
    <w:rsid w:val="00577B2F"/>
    <w:rsid w:val="00584679"/>
    <w:rsid w:val="00585808"/>
    <w:rsid w:val="0059589B"/>
    <w:rsid w:val="005A1315"/>
    <w:rsid w:val="005A2F42"/>
    <w:rsid w:val="005A6862"/>
    <w:rsid w:val="005B1F0E"/>
    <w:rsid w:val="005B74E5"/>
    <w:rsid w:val="005C228A"/>
    <w:rsid w:val="005C34D6"/>
    <w:rsid w:val="005C456C"/>
    <w:rsid w:val="005C7E49"/>
    <w:rsid w:val="005D15A5"/>
    <w:rsid w:val="005D360E"/>
    <w:rsid w:val="005D42E5"/>
    <w:rsid w:val="005E11DC"/>
    <w:rsid w:val="005E171C"/>
    <w:rsid w:val="005E28AE"/>
    <w:rsid w:val="005E2E6D"/>
    <w:rsid w:val="005F0EC0"/>
    <w:rsid w:val="005F2C1E"/>
    <w:rsid w:val="005F544F"/>
    <w:rsid w:val="005F58E9"/>
    <w:rsid w:val="00613CDD"/>
    <w:rsid w:val="00624AD4"/>
    <w:rsid w:val="0062513C"/>
    <w:rsid w:val="00625F79"/>
    <w:rsid w:val="00631422"/>
    <w:rsid w:val="006356E0"/>
    <w:rsid w:val="00643E57"/>
    <w:rsid w:val="0064651E"/>
    <w:rsid w:val="006552DF"/>
    <w:rsid w:val="0066077E"/>
    <w:rsid w:val="00664C6B"/>
    <w:rsid w:val="00665931"/>
    <w:rsid w:val="006722B9"/>
    <w:rsid w:val="0067387D"/>
    <w:rsid w:val="00677AD0"/>
    <w:rsid w:val="00681090"/>
    <w:rsid w:val="0068307C"/>
    <w:rsid w:val="00684BAA"/>
    <w:rsid w:val="00687CFF"/>
    <w:rsid w:val="0069725E"/>
    <w:rsid w:val="006B03F2"/>
    <w:rsid w:val="006C3042"/>
    <w:rsid w:val="006D2B21"/>
    <w:rsid w:val="006D5F21"/>
    <w:rsid w:val="006E4025"/>
    <w:rsid w:val="007018D0"/>
    <w:rsid w:val="0070308B"/>
    <w:rsid w:val="0070465A"/>
    <w:rsid w:val="00704A91"/>
    <w:rsid w:val="007061BD"/>
    <w:rsid w:val="00710A01"/>
    <w:rsid w:val="00717696"/>
    <w:rsid w:val="00734943"/>
    <w:rsid w:val="007408F9"/>
    <w:rsid w:val="0074355F"/>
    <w:rsid w:val="007449F1"/>
    <w:rsid w:val="007450B6"/>
    <w:rsid w:val="00745E3F"/>
    <w:rsid w:val="00747BB2"/>
    <w:rsid w:val="00756038"/>
    <w:rsid w:val="00756C35"/>
    <w:rsid w:val="00757065"/>
    <w:rsid w:val="00762F79"/>
    <w:rsid w:val="00764F77"/>
    <w:rsid w:val="007665BE"/>
    <w:rsid w:val="00774550"/>
    <w:rsid w:val="007765C1"/>
    <w:rsid w:val="00777C32"/>
    <w:rsid w:val="007815AD"/>
    <w:rsid w:val="00784645"/>
    <w:rsid w:val="00787D53"/>
    <w:rsid w:val="007938ED"/>
    <w:rsid w:val="00793F98"/>
    <w:rsid w:val="007943E4"/>
    <w:rsid w:val="007A020B"/>
    <w:rsid w:val="007A0A6E"/>
    <w:rsid w:val="007A34B3"/>
    <w:rsid w:val="007B7E4D"/>
    <w:rsid w:val="007C24C6"/>
    <w:rsid w:val="007C4F6B"/>
    <w:rsid w:val="007D5E00"/>
    <w:rsid w:val="007E7910"/>
    <w:rsid w:val="007F027B"/>
    <w:rsid w:val="007F0DA2"/>
    <w:rsid w:val="007F3508"/>
    <w:rsid w:val="007F6DE4"/>
    <w:rsid w:val="0080034E"/>
    <w:rsid w:val="008018A4"/>
    <w:rsid w:val="008075E4"/>
    <w:rsid w:val="00811AC2"/>
    <w:rsid w:val="008120A6"/>
    <w:rsid w:val="008130FC"/>
    <w:rsid w:val="008143C8"/>
    <w:rsid w:val="00817FFC"/>
    <w:rsid w:val="00821AD4"/>
    <w:rsid w:val="00821AE9"/>
    <w:rsid w:val="008364C8"/>
    <w:rsid w:val="00837885"/>
    <w:rsid w:val="00840666"/>
    <w:rsid w:val="0084335B"/>
    <w:rsid w:val="0084649B"/>
    <w:rsid w:val="00846940"/>
    <w:rsid w:val="00846E09"/>
    <w:rsid w:val="00854FB8"/>
    <w:rsid w:val="00855AB4"/>
    <w:rsid w:val="008562C1"/>
    <w:rsid w:val="0086076C"/>
    <w:rsid w:val="00871068"/>
    <w:rsid w:val="00871078"/>
    <w:rsid w:val="00871E84"/>
    <w:rsid w:val="00875BE6"/>
    <w:rsid w:val="00876349"/>
    <w:rsid w:val="008813F1"/>
    <w:rsid w:val="00892632"/>
    <w:rsid w:val="0089514C"/>
    <w:rsid w:val="008A602E"/>
    <w:rsid w:val="008B1AAB"/>
    <w:rsid w:val="008B581D"/>
    <w:rsid w:val="008B76B7"/>
    <w:rsid w:val="008C4230"/>
    <w:rsid w:val="008C7275"/>
    <w:rsid w:val="008D190C"/>
    <w:rsid w:val="008D7C03"/>
    <w:rsid w:val="008E11AE"/>
    <w:rsid w:val="008E7C41"/>
    <w:rsid w:val="008F33B6"/>
    <w:rsid w:val="0090281D"/>
    <w:rsid w:val="009070A4"/>
    <w:rsid w:val="009114E3"/>
    <w:rsid w:val="009118DC"/>
    <w:rsid w:val="00913841"/>
    <w:rsid w:val="009206A3"/>
    <w:rsid w:val="00921557"/>
    <w:rsid w:val="009234C2"/>
    <w:rsid w:val="00935FED"/>
    <w:rsid w:val="00940B13"/>
    <w:rsid w:val="0094241E"/>
    <w:rsid w:val="009427F4"/>
    <w:rsid w:val="00950BB9"/>
    <w:rsid w:val="00953950"/>
    <w:rsid w:val="00980443"/>
    <w:rsid w:val="00980D60"/>
    <w:rsid w:val="009859F4"/>
    <w:rsid w:val="00986C9E"/>
    <w:rsid w:val="009926AC"/>
    <w:rsid w:val="009937AA"/>
    <w:rsid w:val="009A76B5"/>
    <w:rsid w:val="009B2393"/>
    <w:rsid w:val="009B45EC"/>
    <w:rsid w:val="009C5445"/>
    <w:rsid w:val="009C57C5"/>
    <w:rsid w:val="009C7C8F"/>
    <w:rsid w:val="009D24BC"/>
    <w:rsid w:val="009D6A4F"/>
    <w:rsid w:val="009E310A"/>
    <w:rsid w:val="009E4835"/>
    <w:rsid w:val="009F0694"/>
    <w:rsid w:val="009F0773"/>
    <w:rsid w:val="009F4793"/>
    <w:rsid w:val="00A007BD"/>
    <w:rsid w:val="00A01013"/>
    <w:rsid w:val="00A01460"/>
    <w:rsid w:val="00A0242C"/>
    <w:rsid w:val="00A07368"/>
    <w:rsid w:val="00A1515D"/>
    <w:rsid w:val="00A240AA"/>
    <w:rsid w:val="00A247B9"/>
    <w:rsid w:val="00A24EB5"/>
    <w:rsid w:val="00A3132B"/>
    <w:rsid w:val="00A43B9F"/>
    <w:rsid w:val="00A44C68"/>
    <w:rsid w:val="00A46A9B"/>
    <w:rsid w:val="00A51EFD"/>
    <w:rsid w:val="00A52108"/>
    <w:rsid w:val="00A52F31"/>
    <w:rsid w:val="00A6058E"/>
    <w:rsid w:val="00A60C1A"/>
    <w:rsid w:val="00A62901"/>
    <w:rsid w:val="00A63E54"/>
    <w:rsid w:val="00A76216"/>
    <w:rsid w:val="00A76FA2"/>
    <w:rsid w:val="00A818C4"/>
    <w:rsid w:val="00A83C74"/>
    <w:rsid w:val="00A852F0"/>
    <w:rsid w:val="00A9069E"/>
    <w:rsid w:val="00A921BC"/>
    <w:rsid w:val="00A957CF"/>
    <w:rsid w:val="00AA2E27"/>
    <w:rsid w:val="00AB05BD"/>
    <w:rsid w:val="00AB37F0"/>
    <w:rsid w:val="00AC2601"/>
    <w:rsid w:val="00AC2BA7"/>
    <w:rsid w:val="00AD2C83"/>
    <w:rsid w:val="00AE14BE"/>
    <w:rsid w:val="00AE7527"/>
    <w:rsid w:val="00AE77F6"/>
    <w:rsid w:val="00AF00CD"/>
    <w:rsid w:val="00AF7412"/>
    <w:rsid w:val="00B007C7"/>
    <w:rsid w:val="00B01AEB"/>
    <w:rsid w:val="00B10C87"/>
    <w:rsid w:val="00B16551"/>
    <w:rsid w:val="00B22A85"/>
    <w:rsid w:val="00B22EA6"/>
    <w:rsid w:val="00B34FFB"/>
    <w:rsid w:val="00B353DE"/>
    <w:rsid w:val="00B35B87"/>
    <w:rsid w:val="00B45F95"/>
    <w:rsid w:val="00B46A54"/>
    <w:rsid w:val="00B47F47"/>
    <w:rsid w:val="00B51343"/>
    <w:rsid w:val="00B55B87"/>
    <w:rsid w:val="00B57D04"/>
    <w:rsid w:val="00B72320"/>
    <w:rsid w:val="00B7583B"/>
    <w:rsid w:val="00B76397"/>
    <w:rsid w:val="00B7657E"/>
    <w:rsid w:val="00B7687D"/>
    <w:rsid w:val="00B82625"/>
    <w:rsid w:val="00B87FC8"/>
    <w:rsid w:val="00B91037"/>
    <w:rsid w:val="00B95888"/>
    <w:rsid w:val="00B96146"/>
    <w:rsid w:val="00BB4143"/>
    <w:rsid w:val="00BB57FC"/>
    <w:rsid w:val="00BC1FD0"/>
    <w:rsid w:val="00BC21EC"/>
    <w:rsid w:val="00BC369C"/>
    <w:rsid w:val="00BD05E9"/>
    <w:rsid w:val="00BD274D"/>
    <w:rsid w:val="00BD7060"/>
    <w:rsid w:val="00BE23E9"/>
    <w:rsid w:val="00BE7160"/>
    <w:rsid w:val="00BF115B"/>
    <w:rsid w:val="00C07A3E"/>
    <w:rsid w:val="00C11CFB"/>
    <w:rsid w:val="00C1664E"/>
    <w:rsid w:val="00C17513"/>
    <w:rsid w:val="00C21A75"/>
    <w:rsid w:val="00C3296B"/>
    <w:rsid w:val="00C355BB"/>
    <w:rsid w:val="00C57A09"/>
    <w:rsid w:val="00C63E68"/>
    <w:rsid w:val="00C87E8B"/>
    <w:rsid w:val="00C90EF8"/>
    <w:rsid w:val="00CA01FC"/>
    <w:rsid w:val="00CA26FC"/>
    <w:rsid w:val="00CA313D"/>
    <w:rsid w:val="00CB6294"/>
    <w:rsid w:val="00CB6CEA"/>
    <w:rsid w:val="00CB7D80"/>
    <w:rsid w:val="00CD17A8"/>
    <w:rsid w:val="00CD4A98"/>
    <w:rsid w:val="00CE64D7"/>
    <w:rsid w:val="00CE7AFD"/>
    <w:rsid w:val="00CF14D8"/>
    <w:rsid w:val="00CF1AAD"/>
    <w:rsid w:val="00CF3CB1"/>
    <w:rsid w:val="00CF3F2C"/>
    <w:rsid w:val="00CF65F1"/>
    <w:rsid w:val="00D011B0"/>
    <w:rsid w:val="00D01934"/>
    <w:rsid w:val="00D02B49"/>
    <w:rsid w:val="00D02FBB"/>
    <w:rsid w:val="00D03520"/>
    <w:rsid w:val="00D42B94"/>
    <w:rsid w:val="00D4647D"/>
    <w:rsid w:val="00D47B73"/>
    <w:rsid w:val="00D528E1"/>
    <w:rsid w:val="00D561A8"/>
    <w:rsid w:val="00D72071"/>
    <w:rsid w:val="00D80DA9"/>
    <w:rsid w:val="00D83EB1"/>
    <w:rsid w:val="00D85239"/>
    <w:rsid w:val="00D86F8D"/>
    <w:rsid w:val="00D95765"/>
    <w:rsid w:val="00D96521"/>
    <w:rsid w:val="00D96840"/>
    <w:rsid w:val="00D97752"/>
    <w:rsid w:val="00DB69E8"/>
    <w:rsid w:val="00DD7370"/>
    <w:rsid w:val="00DE1197"/>
    <w:rsid w:val="00DE2845"/>
    <w:rsid w:val="00DE471A"/>
    <w:rsid w:val="00DF56B1"/>
    <w:rsid w:val="00E0007F"/>
    <w:rsid w:val="00E043FD"/>
    <w:rsid w:val="00E05D99"/>
    <w:rsid w:val="00E07897"/>
    <w:rsid w:val="00E102BD"/>
    <w:rsid w:val="00E11BBE"/>
    <w:rsid w:val="00E16F1C"/>
    <w:rsid w:val="00E3369F"/>
    <w:rsid w:val="00E526D0"/>
    <w:rsid w:val="00E56FBF"/>
    <w:rsid w:val="00E63A7C"/>
    <w:rsid w:val="00E771D3"/>
    <w:rsid w:val="00E80557"/>
    <w:rsid w:val="00E86C37"/>
    <w:rsid w:val="00E86DA9"/>
    <w:rsid w:val="00E93D53"/>
    <w:rsid w:val="00E9695C"/>
    <w:rsid w:val="00EC0DB3"/>
    <w:rsid w:val="00EC7870"/>
    <w:rsid w:val="00ED0E57"/>
    <w:rsid w:val="00ED125D"/>
    <w:rsid w:val="00ED15E9"/>
    <w:rsid w:val="00ED60AD"/>
    <w:rsid w:val="00EE0410"/>
    <w:rsid w:val="00EE15FF"/>
    <w:rsid w:val="00EE2826"/>
    <w:rsid w:val="00EE75DF"/>
    <w:rsid w:val="00EE7E5D"/>
    <w:rsid w:val="00EF2EC7"/>
    <w:rsid w:val="00F02ACE"/>
    <w:rsid w:val="00F02CA5"/>
    <w:rsid w:val="00F04915"/>
    <w:rsid w:val="00F16EDE"/>
    <w:rsid w:val="00F23F75"/>
    <w:rsid w:val="00F3604F"/>
    <w:rsid w:val="00F37F11"/>
    <w:rsid w:val="00F42934"/>
    <w:rsid w:val="00F4312B"/>
    <w:rsid w:val="00F443D9"/>
    <w:rsid w:val="00F447C2"/>
    <w:rsid w:val="00F45238"/>
    <w:rsid w:val="00F57FBD"/>
    <w:rsid w:val="00F605DD"/>
    <w:rsid w:val="00F6374F"/>
    <w:rsid w:val="00F67355"/>
    <w:rsid w:val="00F83811"/>
    <w:rsid w:val="00F87170"/>
    <w:rsid w:val="00F9094C"/>
    <w:rsid w:val="00FA424E"/>
    <w:rsid w:val="00FA581E"/>
    <w:rsid w:val="00FA5E70"/>
    <w:rsid w:val="00FA7C2A"/>
    <w:rsid w:val="00FB1693"/>
    <w:rsid w:val="00FB1D8E"/>
    <w:rsid w:val="00FB324F"/>
    <w:rsid w:val="00FB3590"/>
    <w:rsid w:val="00FB66A8"/>
    <w:rsid w:val="00FD04BE"/>
    <w:rsid w:val="00FD766E"/>
    <w:rsid w:val="00FE4DD4"/>
    <w:rsid w:val="00FE65F4"/>
    <w:rsid w:val="00FE6C60"/>
  </w:rsids>
  <m:mathPr>
    <m:mathFont m:val="Cambria Math"/>
    <m:brkBin m:val="before"/>
    <m:brkBinSub m:val="--"/>
    <m:smallFrac m:val="0"/>
    <m:dispDef m:val="0"/>
    <m:lMargin m:val="0"/>
    <m:rMargin m:val="0"/>
    <m:defJc m:val="centerGroup"/>
    <m:wrapRight/>
    <m:intLim m:val="subSup"/>
    <m:naryLim m:val="subSup"/>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D0F64E2A-199D-407B-BFA8-C4B57279D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1"/>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1A75"/>
    <w:pPr>
      <w:spacing w:line="276" w:lineRule="auto"/>
      <w:ind w:firstLine="425"/>
      <w:jc w:val="both"/>
    </w:pPr>
    <w:rPr>
      <w:rFonts w:ascii="Arial" w:eastAsia="Cambria" w:hAnsi="Arial" w:cs="Arial"/>
      <w:sz w:val="18"/>
      <w:szCs w:val="18"/>
      <w:lang w:val="es-MX"/>
    </w:rPr>
  </w:style>
  <w:style w:type="paragraph" w:styleId="Ttulo1">
    <w:name w:val="heading 1"/>
    <w:basedOn w:val="Normal"/>
    <w:next w:val="Normal"/>
    <w:link w:val="Ttulo1Car"/>
    <w:uiPriority w:val="9"/>
    <w:qFormat/>
    <w:rsid w:val="00C21A75"/>
    <w:pPr>
      <w:keepNext/>
      <w:keepLines/>
      <w:numPr>
        <w:numId w:val="4"/>
      </w:numPr>
      <w:spacing w:before="120"/>
      <w:outlineLvl w:val="0"/>
    </w:pPr>
    <w:rPr>
      <w:rFonts w:eastAsia="MS Gothic"/>
      <w:b/>
      <w:bCs/>
    </w:rPr>
  </w:style>
  <w:style w:type="paragraph" w:styleId="Ttulo2">
    <w:name w:val="heading 2"/>
    <w:basedOn w:val="Normal"/>
    <w:next w:val="Normal"/>
    <w:link w:val="Ttulo2Car"/>
    <w:uiPriority w:val="9"/>
    <w:qFormat/>
    <w:rsid w:val="00C21A75"/>
    <w:pPr>
      <w:keepNext/>
      <w:keepLines/>
      <w:spacing w:before="200"/>
      <w:outlineLvl w:val="1"/>
    </w:pPr>
    <w:rPr>
      <w:rFonts w:ascii="Calibri" w:eastAsia="MS Gothic" w:hAnsi="Calibri"/>
      <w:b/>
      <w:bCs/>
      <w:color w:val="4F81BD"/>
      <w:sz w:val="26"/>
      <w:szCs w:val="26"/>
    </w:rPr>
  </w:style>
  <w:style w:type="paragraph" w:styleId="Ttulo3">
    <w:name w:val="heading 3"/>
    <w:basedOn w:val="Normal"/>
    <w:next w:val="Normal"/>
    <w:link w:val="Ttulo3Car"/>
    <w:uiPriority w:val="9"/>
    <w:unhideWhenUsed/>
    <w:qFormat/>
    <w:rsid w:val="00C21A75"/>
    <w:pPr>
      <w:outlineLvl w:val="2"/>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
    <w:name w:val="Emphasis"/>
    <w:autoRedefine/>
    <w:qFormat/>
    <w:rsid w:val="009D24BC"/>
    <w:rPr>
      <w:i/>
      <w:iCs/>
      <w:sz w:val="24"/>
    </w:rPr>
  </w:style>
  <w:style w:type="character" w:customStyle="1" w:styleId="Heading1Char">
    <w:name w:val="Heading 1 Char"/>
    <w:uiPriority w:val="9"/>
    <w:rsid w:val="00CB6CEA"/>
    <w:rPr>
      <w:rFonts w:ascii="Calibri" w:eastAsia="MS Gothic" w:hAnsi="Calibri" w:cs="Times New Roman"/>
      <w:b/>
      <w:bCs/>
      <w:color w:val="345A8A"/>
      <w:sz w:val="32"/>
      <w:szCs w:val="32"/>
      <w:lang w:val="es-MX" w:eastAsia="en-US"/>
    </w:rPr>
  </w:style>
  <w:style w:type="character" w:customStyle="1" w:styleId="Heading2Char">
    <w:name w:val="Heading 2 Char"/>
    <w:uiPriority w:val="9"/>
    <w:semiHidden/>
    <w:rsid w:val="00CB6CEA"/>
    <w:rPr>
      <w:rFonts w:ascii="Calibri" w:eastAsia="MS Gothic" w:hAnsi="Calibri" w:cs="Times New Roman"/>
      <w:b/>
      <w:bCs/>
      <w:color w:val="4F81BD"/>
      <w:sz w:val="26"/>
      <w:szCs w:val="26"/>
      <w:lang w:val="es-MX" w:eastAsia="en-US"/>
    </w:rPr>
  </w:style>
  <w:style w:type="character" w:customStyle="1" w:styleId="Ttulo1Car">
    <w:name w:val="Título 1 Car"/>
    <w:link w:val="Ttulo1"/>
    <w:uiPriority w:val="9"/>
    <w:rsid w:val="00C11CFB"/>
    <w:rPr>
      <w:rFonts w:ascii="Arial" w:eastAsia="MS Gothic" w:hAnsi="Arial" w:cs="Arial"/>
      <w:b/>
      <w:bCs/>
      <w:sz w:val="18"/>
      <w:szCs w:val="18"/>
      <w:lang w:val="es-MX"/>
    </w:rPr>
  </w:style>
  <w:style w:type="paragraph" w:customStyle="1" w:styleId="Listavistosa-nfasis11">
    <w:name w:val="Lista vistosa - Énfasis 11"/>
    <w:basedOn w:val="Normal"/>
    <w:uiPriority w:val="34"/>
    <w:qFormat/>
    <w:rsid w:val="00C21A75"/>
    <w:pPr>
      <w:ind w:left="720"/>
      <w:contextualSpacing/>
    </w:pPr>
  </w:style>
  <w:style w:type="table" w:styleId="Tablaconcuadrcula">
    <w:name w:val="Table Grid"/>
    <w:basedOn w:val="Tablanormal"/>
    <w:uiPriority w:val="59"/>
    <w:rsid w:val="00CB6CEA"/>
    <w:rPr>
      <w:rFonts w:eastAsia="Cambria"/>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CB6CEA"/>
    <w:rPr>
      <w:color w:val="0000FF"/>
      <w:u w:val="single"/>
    </w:rPr>
  </w:style>
  <w:style w:type="paragraph" w:styleId="Textonotapie">
    <w:name w:val="footnote text"/>
    <w:basedOn w:val="Normal"/>
    <w:link w:val="TextonotapieCar"/>
    <w:uiPriority w:val="99"/>
    <w:rsid w:val="00C21A75"/>
    <w:pPr>
      <w:spacing w:line="240" w:lineRule="auto"/>
    </w:pPr>
    <w:rPr>
      <w:rFonts w:ascii="Calibri" w:eastAsia="Calibri" w:hAnsi="Calibri"/>
      <w:sz w:val="20"/>
      <w:szCs w:val="20"/>
    </w:rPr>
  </w:style>
  <w:style w:type="character" w:customStyle="1" w:styleId="FootnoteTextChar">
    <w:name w:val="Footnote Text Char"/>
    <w:uiPriority w:val="99"/>
    <w:semiHidden/>
    <w:rsid w:val="00CB6CEA"/>
    <w:rPr>
      <w:rFonts w:eastAsia="Cambria"/>
      <w:lang w:val="es-MX" w:eastAsia="en-US"/>
    </w:rPr>
  </w:style>
  <w:style w:type="character" w:customStyle="1" w:styleId="TextonotapieCar">
    <w:name w:val="Texto nota pie Car"/>
    <w:link w:val="Textonotapie"/>
    <w:uiPriority w:val="99"/>
    <w:rsid w:val="00CB6CEA"/>
    <w:rPr>
      <w:rFonts w:ascii="Calibri" w:eastAsia="Calibri" w:hAnsi="Calibri" w:cs="Arial"/>
      <w:lang w:val="es-MX"/>
    </w:rPr>
  </w:style>
  <w:style w:type="paragraph" w:customStyle="1" w:styleId="Default">
    <w:name w:val="Default"/>
    <w:rsid w:val="00CB6CEA"/>
    <w:pPr>
      <w:autoSpaceDE w:val="0"/>
      <w:autoSpaceDN w:val="0"/>
      <w:adjustRightInd w:val="0"/>
    </w:pPr>
    <w:rPr>
      <w:rFonts w:ascii="Century Gothic" w:eastAsia="Times New Roman" w:hAnsi="Century Gothic" w:cs="Century Gothic"/>
      <w:color w:val="000000"/>
      <w:sz w:val="24"/>
      <w:szCs w:val="24"/>
      <w:lang w:val="es-MX" w:eastAsia="es-MX"/>
    </w:rPr>
  </w:style>
  <w:style w:type="character" w:styleId="Refdenotaalpie">
    <w:name w:val="footnote reference"/>
    <w:uiPriority w:val="99"/>
    <w:semiHidden/>
    <w:unhideWhenUsed/>
    <w:rsid w:val="00CB6CEA"/>
    <w:rPr>
      <w:vertAlign w:val="superscript"/>
    </w:rPr>
  </w:style>
  <w:style w:type="paragraph" w:customStyle="1" w:styleId="p0">
    <w:name w:val="p0"/>
    <w:basedOn w:val="Normal"/>
    <w:rsid w:val="00C21A75"/>
    <w:pPr>
      <w:keepLines/>
      <w:widowControl w:val="0"/>
      <w:spacing w:before="240" w:line="240" w:lineRule="auto"/>
    </w:pPr>
    <w:rPr>
      <w:rFonts w:eastAsia="Times New Roman"/>
      <w:snapToGrid w:val="0"/>
      <w:color w:val="0000FF"/>
      <w:sz w:val="24"/>
      <w:szCs w:val="20"/>
      <w:lang w:val="es-ES_tradnl" w:eastAsia="es-ES"/>
    </w:rPr>
  </w:style>
  <w:style w:type="paragraph" w:styleId="Textodeglobo">
    <w:name w:val="Balloon Text"/>
    <w:basedOn w:val="Normal"/>
    <w:link w:val="TextodegloboCar"/>
    <w:uiPriority w:val="99"/>
    <w:semiHidden/>
    <w:unhideWhenUsed/>
    <w:rsid w:val="00C21A75"/>
    <w:pPr>
      <w:spacing w:line="240" w:lineRule="auto"/>
    </w:pPr>
    <w:rPr>
      <w:rFonts w:ascii="Tahoma" w:hAnsi="Tahoma"/>
      <w:sz w:val="16"/>
      <w:szCs w:val="16"/>
    </w:rPr>
  </w:style>
  <w:style w:type="character" w:customStyle="1" w:styleId="BalloonTextChar">
    <w:name w:val="Balloon Text Char"/>
    <w:uiPriority w:val="99"/>
    <w:semiHidden/>
    <w:rsid w:val="00CB6CEA"/>
    <w:rPr>
      <w:rFonts w:ascii="Lucida Grande" w:eastAsia="Cambria" w:hAnsi="Lucida Grande" w:cs="Lucida Grande"/>
      <w:sz w:val="18"/>
      <w:szCs w:val="18"/>
      <w:lang w:val="es-MX" w:eastAsia="en-US"/>
    </w:rPr>
  </w:style>
  <w:style w:type="character" w:customStyle="1" w:styleId="TextodegloboCar">
    <w:name w:val="Texto de globo Car"/>
    <w:link w:val="Textodeglobo"/>
    <w:uiPriority w:val="99"/>
    <w:semiHidden/>
    <w:rsid w:val="00CB6CEA"/>
    <w:rPr>
      <w:rFonts w:ascii="Tahoma" w:eastAsia="Cambria" w:hAnsi="Tahoma" w:cs="Arial"/>
      <w:sz w:val="16"/>
      <w:szCs w:val="16"/>
      <w:lang w:val="es-MX"/>
    </w:rPr>
  </w:style>
  <w:style w:type="character" w:customStyle="1" w:styleId="Ttulo2Car">
    <w:name w:val="Título 2 Car"/>
    <w:link w:val="Ttulo2"/>
    <w:uiPriority w:val="9"/>
    <w:rsid w:val="00CB6CEA"/>
    <w:rPr>
      <w:rFonts w:ascii="Calibri" w:eastAsia="MS Gothic" w:hAnsi="Calibri" w:cs="Arial"/>
      <w:b/>
      <w:bCs/>
      <w:color w:val="4F81BD"/>
      <w:sz w:val="26"/>
      <w:szCs w:val="26"/>
      <w:lang w:val="es-MX"/>
    </w:rPr>
  </w:style>
  <w:style w:type="paragraph" w:styleId="TtuloTDC">
    <w:name w:val="TOC Heading"/>
    <w:basedOn w:val="Ttulo1"/>
    <w:next w:val="Normal"/>
    <w:uiPriority w:val="39"/>
    <w:unhideWhenUsed/>
    <w:qFormat/>
    <w:rsid w:val="006D2B21"/>
    <w:pPr>
      <w:outlineLvl w:val="9"/>
    </w:pPr>
    <w:rPr>
      <w:rFonts w:ascii="Cambria" w:eastAsia="Times New Roman" w:hAnsi="Cambria" w:cs="Times New Roman"/>
      <w:color w:val="365F91"/>
      <w:lang w:val="es-ES"/>
    </w:rPr>
  </w:style>
  <w:style w:type="paragraph" w:styleId="TDC1">
    <w:name w:val="toc 1"/>
    <w:basedOn w:val="Normal"/>
    <w:next w:val="Normal"/>
    <w:autoRedefine/>
    <w:uiPriority w:val="39"/>
    <w:unhideWhenUsed/>
    <w:rsid w:val="00C21A75"/>
    <w:pPr>
      <w:tabs>
        <w:tab w:val="left" w:pos="567"/>
        <w:tab w:val="right" w:leader="dot" w:pos="8494"/>
      </w:tabs>
      <w:spacing w:after="100"/>
    </w:pPr>
  </w:style>
  <w:style w:type="paragraph" w:styleId="TDC2">
    <w:name w:val="toc 2"/>
    <w:basedOn w:val="Normal"/>
    <w:next w:val="Normal"/>
    <w:autoRedefine/>
    <w:uiPriority w:val="39"/>
    <w:unhideWhenUsed/>
    <w:rsid w:val="00C21A75"/>
    <w:pPr>
      <w:tabs>
        <w:tab w:val="left" w:pos="1276"/>
        <w:tab w:val="right" w:leader="dot" w:pos="8494"/>
      </w:tabs>
      <w:spacing w:after="100"/>
      <w:ind w:left="220"/>
    </w:pPr>
  </w:style>
  <w:style w:type="paragraph" w:customStyle="1" w:styleId="Texto">
    <w:name w:val="Texto"/>
    <w:basedOn w:val="Normal"/>
    <w:link w:val="TextoCar"/>
    <w:rsid w:val="00CB6CEA"/>
    <w:pPr>
      <w:spacing w:after="101" w:line="216" w:lineRule="exact"/>
      <w:ind w:firstLine="288"/>
    </w:pPr>
    <w:rPr>
      <w:rFonts w:eastAsia="Times New Roman"/>
      <w:szCs w:val="20"/>
      <w:lang w:val="es-ES" w:eastAsia="es-ES"/>
    </w:rPr>
  </w:style>
  <w:style w:type="character" w:customStyle="1" w:styleId="TextoCar">
    <w:name w:val="Texto Car"/>
    <w:link w:val="Texto"/>
    <w:locked/>
    <w:rsid w:val="00CB6CEA"/>
    <w:rPr>
      <w:rFonts w:ascii="Arial" w:eastAsia="Times New Roman" w:hAnsi="Arial" w:cs="Arial"/>
      <w:sz w:val="18"/>
      <w:szCs w:val="20"/>
      <w:lang w:val="es-ES" w:eastAsia="es-ES"/>
    </w:rPr>
  </w:style>
  <w:style w:type="paragraph" w:customStyle="1" w:styleId="LIN">
    <w:name w:val="LIN"/>
    <w:basedOn w:val="Texto"/>
    <w:qFormat/>
    <w:rsid w:val="00CB6CEA"/>
    <w:pPr>
      <w:tabs>
        <w:tab w:val="left" w:pos="2610"/>
      </w:tabs>
      <w:ind w:left="576" w:firstLine="0"/>
    </w:pPr>
    <w:rPr>
      <w:u w:val="single"/>
    </w:rPr>
  </w:style>
  <w:style w:type="paragraph" w:customStyle="1" w:styleId="EST">
    <w:name w:val="EST"/>
    <w:basedOn w:val="Texto"/>
    <w:qFormat/>
    <w:rsid w:val="00CB6CEA"/>
    <w:pPr>
      <w:tabs>
        <w:tab w:val="left" w:pos="1800"/>
      </w:tabs>
    </w:pPr>
    <w:rPr>
      <w:b/>
      <w:u w:val="single"/>
    </w:rPr>
  </w:style>
  <w:style w:type="paragraph" w:styleId="Encabezado">
    <w:name w:val="header"/>
    <w:basedOn w:val="Normal"/>
    <w:link w:val="EncabezadoCar"/>
    <w:uiPriority w:val="99"/>
    <w:unhideWhenUsed/>
    <w:rsid w:val="00C21A75"/>
    <w:pPr>
      <w:tabs>
        <w:tab w:val="center" w:pos="4252"/>
        <w:tab w:val="right" w:pos="8504"/>
      </w:tabs>
      <w:spacing w:line="240" w:lineRule="auto"/>
    </w:pPr>
  </w:style>
  <w:style w:type="character" w:customStyle="1" w:styleId="HeaderChar">
    <w:name w:val="Header Char"/>
    <w:uiPriority w:val="99"/>
    <w:semiHidden/>
    <w:rsid w:val="00CB6CEA"/>
    <w:rPr>
      <w:rFonts w:eastAsia="Cambria"/>
      <w:sz w:val="22"/>
      <w:szCs w:val="22"/>
      <w:lang w:val="es-MX" w:eastAsia="en-US"/>
    </w:rPr>
  </w:style>
  <w:style w:type="character" w:customStyle="1" w:styleId="EncabezadoCar">
    <w:name w:val="Encabezado Car"/>
    <w:link w:val="Encabezado"/>
    <w:uiPriority w:val="99"/>
    <w:rsid w:val="00CB6CEA"/>
    <w:rPr>
      <w:rFonts w:ascii="Arial" w:eastAsia="Cambria" w:hAnsi="Arial" w:cs="Arial"/>
      <w:sz w:val="18"/>
      <w:szCs w:val="18"/>
      <w:lang w:val="es-MX"/>
    </w:rPr>
  </w:style>
  <w:style w:type="paragraph" w:styleId="Piedepgina">
    <w:name w:val="footer"/>
    <w:basedOn w:val="Normal"/>
    <w:link w:val="PiedepginaCar"/>
    <w:uiPriority w:val="99"/>
    <w:unhideWhenUsed/>
    <w:rsid w:val="00C21A75"/>
    <w:pPr>
      <w:tabs>
        <w:tab w:val="center" w:pos="4252"/>
        <w:tab w:val="right" w:pos="8504"/>
      </w:tabs>
      <w:spacing w:line="240" w:lineRule="auto"/>
    </w:pPr>
  </w:style>
  <w:style w:type="character" w:customStyle="1" w:styleId="FooterChar">
    <w:name w:val="Footer Char"/>
    <w:uiPriority w:val="99"/>
    <w:semiHidden/>
    <w:rsid w:val="00CB6CEA"/>
    <w:rPr>
      <w:rFonts w:eastAsia="Cambria"/>
      <w:sz w:val="22"/>
      <w:szCs w:val="22"/>
      <w:lang w:val="es-MX" w:eastAsia="en-US"/>
    </w:rPr>
  </w:style>
  <w:style w:type="character" w:customStyle="1" w:styleId="PiedepginaCar">
    <w:name w:val="Pie de página Car"/>
    <w:link w:val="Piedepgina"/>
    <w:uiPriority w:val="99"/>
    <w:rsid w:val="00CB6CEA"/>
    <w:rPr>
      <w:rFonts w:ascii="Arial" w:eastAsia="Cambria" w:hAnsi="Arial" w:cs="Arial"/>
      <w:sz w:val="18"/>
      <w:szCs w:val="18"/>
      <w:lang w:val="es-MX"/>
    </w:rPr>
  </w:style>
  <w:style w:type="paragraph" w:styleId="NormalWeb">
    <w:name w:val="Normal (Web)"/>
    <w:basedOn w:val="Normal"/>
    <w:uiPriority w:val="99"/>
    <w:unhideWhenUsed/>
    <w:rsid w:val="00C21A75"/>
    <w:pPr>
      <w:spacing w:before="100" w:beforeAutospacing="1" w:after="100" w:afterAutospacing="1" w:line="240" w:lineRule="auto"/>
    </w:pPr>
    <w:rPr>
      <w:rFonts w:ascii="Times New Roman" w:eastAsia="MS Mincho" w:hAnsi="Times New Roman"/>
      <w:sz w:val="24"/>
      <w:szCs w:val="24"/>
      <w:lang w:eastAsia="es-MX"/>
    </w:rPr>
  </w:style>
  <w:style w:type="paragraph" w:customStyle="1" w:styleId="Cuadrculamedia21">
    <w:name w:val="Cuadrícula media 21"/>
    <w:link w:val="Cuadrculamedia2Car"/>
    <w:uiPriority w:val="1"/>
    <w:qFormat/>
    <w:rsid w:val="00CB6CEA"/>
    <w:rPr>
      <w:rFonts w:eastAsia="Cambria"/>
      <w:sz w:val="22"/>
      <w:szCs w:val="22"/>
      <w:lang w:val="es-MX"/>
    </w:rPr>
  </w:style>
  <w:style w:type="character" w:customStyle="1" w:styleId="Cuadrculamedia2Car">
    <w:name w:val="Cuadrícula media 2 Car"/>
    <w:link w:val="Cuadrculamedia21"/>
    <w:uiPriority w:val="1"/>
    <w:rsid w:val="00CB6CEA"/>
    <w:rPr>
      <w:rFonts w:eastAsia="Cambria"/>
      <w:sz w:val="22"/>
      <w:szCs w:val="22"/>
      <w:lang w:val="es-MX" w:eastAsia="en-US" w:bidi="ar-SA"/>
    </w:rPr>
  </w:style>
  <w:style w:type="paragraph" w:styleId="Prrafodelista">
    <w:name w:val="List Paragraph"/>
    <w:basedOn w:val="Normal"/>
    <w:uiPriority w:val="34"/>
    <w:qFormat/>
    <w:rsid w:val="00F42934"/>
    <w:pPr>
      <w:numPr>
        <w:numId w:val="30"/>
      </w:numPr>
      <w:spacing w:after="200"/>
      <w:contextualSpacing/>
    </w:pPr>
    <w:rPr>
      <w:rFonts w:eastAsia="Calibri"/>
    </w:rPr>
  </w:style>
  <w:style w:type="table" w:styleId="Listaclara-nfasis3">
    <w:name w:val="Light List Accent 3"/>
    <w:basedOn w:val="Tablanormal"/>
    <w:uiPriority w:val="61"/>
    <w:rsid w:val="00A07368"/>
    <w:rPr>
      <w:rFonts w:ascii="Calibri" w:eastAsia="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Fuentesyreferencias">
    <w:name w:val="Fuentes y referencias"/>
    <w:basedOn w:val="Normal"/>
    <w:link w:val="FuentesyreferenciasCar"/>
    <w:qFormat/>
    <w:rsid w:val="00F42934"/>
    <w:pPr>
      <w:ind w:firstLine="0"/>
      <w:jc w:val="center"/>
    </w:pPr>
    <w:rPr>
      <w:sz w:val="14"/>
      <w:szCs w:val="14"/>
      <w:lang w:eastAsia="es-MX"/>
    </w:rPr>
  </w:style>
  <w:style w:type="paragraph" w:customStyle="1" w:styleId="Graficasytablas">
    <w:name w:val="Graficas y tablas"/>
    <w:basedOn w:val="Normal"/>
    <w:link w:val="GraficasytablasCar"/>
    <w:qFormat/>
    <w:rsid w:val="00C21A75"/>
    <w:pPr>
      <w:jc w:val="center"/>
    </w:pPr>
    <w:rPr>
      <w:rFonts w:ascii="Adobe Caslon Pro" w:hAnsi="Adobe Caslon Pro"/>
      <w:b/>
      <w:sz w:val="20"/>
    </w:rPr>
  </w:style>
  <w:style w:type="character" w:customStyle="1" w:styleId="FuentesyreferenciasCar">
    <w:name w:val="Fuentes y referencias Car"/>
    <w:link w:val="Fuentesyreferencias"/>
    <w:rsid w:val="00F42934"/>
    <w:rPr>
      <w:rFonts w:ascii="Arial" w:eastAsia="Cambria" w:hAnsi="Arial" w:cs="Arial"/>
      <w:sz w:val="14"/>
      <w:szCs w:val="14"/>
      <w:lang w:val="es-MX" w:eastAsia="es-MX"/>
    </w:rPr>
  </w:style>
  <w:style w:type="paragraph" w:customStyle="1" w:styleId="Graficas">
    <w:name w:val="Graficas"/>
    <w:basedOn w:val="Graficasytablas"/>
    <w:link w:val="GraficasCar"/>
    <w:qFormat/>
    <w:rsid w:val="00C21A75"/>
    <w:pPr>
      <w:ind w:firstLine="0"/>
    </w:pPr>
    <w:rPr>
      <w:rFonts w:ascii="Arial" w:hAnsi="Arial"/>
      <w:sz w:val="16"/>
      <w:szCs w:val="16"/>
    </w:rPr>
  </w:style>
  <w:style w:type="character" w:customStyle="1" w:styleId="GraficasytablasCar">
    <w:name w:val="Graficas y tablas Car"/>
    <w:link w:val="Graficasytablas"/>
    <w:rsid w:val="00892632"/>
    <w:rPr>
      <w:rFonts w:ascii="Adobe Caslon Pro" w:eastAsia="Cambria" w:hAnsi="Adobe Caslon Pro" w:cs="Arial"/>
      <w:b/>
      <w:szCs w:val="18"/>
      <w:lang w:val="es-MX"/>
    </w:rPr>
  </w:style>
  <w:style w:type="paragraph" w:customStyle="1" w:styleId="Cuadros">
    <w:name w:val="Cuadros"/>
    <w:basedOn w:val="Normal"/>
    <w:link w:val="CuadrosCar"/>
    <w:qFormat/>
    <w:rsid w:val="00643E57"/>
    <w:pPr>
      <w:ind w:firstLine="0"/>
      <w:jc w:val="center"/>
    </w:pPr>
    <w:rPr>
      <w:b/>
      <w:sz w:val="16"/>
      <w:szCs w:val="16"/>
      <w:lang w:val="es-ES"/>
    </w:rPr>
  </w:style>
  <w:style w:type="character" w:customStyle="1" w:styleId="GraficasCar">
    <w:name w:val="Graficas Car"/>
    <w:basedOn w:val="GraficasytablasCar"/>
    <w:link w:val="Graficas"/>
    <w:rsid w:val="009937AA"/>
    <w:rPr>
      <w:rFonts w:ascii="Arial" w:eastAsia="Cambria" w:hAnsi="Arial" w:cs="Arial"/>
      <w:b/>
      <w:sz w:val="16"/>
      <w:szCs w:val="16"/>
      <w:lang w:val="es-MX"/>
    </w:rPr>
  </w:style>
  <w:style w:type="character" w:styleId="Refdecomentario">
    <w:name w:val="annotation reference"/>
    <w:uiPriority w:val="99"/>
    <w:semiHidden/>
    <w:unhideWhenUsed/>
    <w:rsid w:val="000A4D17"/>
    <w:rPr>
      <w:sz w:val="16"/>
      <w:szCs w:val="16"/>
    </w:rPr>
  </w:style>
  <w:style w:type="character" w:customStyle="1" w:styleId="CuadrosCar">
    <w:name w:val="Cuadros Car"/>
    <w:link w:val="Cuadros"/>
    <w:rsid w:val="00643E57"/>
    <w:rPr>
      <w:rFonts w:ascii="Arial" w:eastAsia="Cambria" w:hAnsi="Arial" w:cs="Arial"/>
      <w:b/>
      <w:sz w:val="16"/>
      <w:szCs w:val="16"/>
      <w:lang w:val="es-ES"/>
    </w:rPr>
  </w:style>
  <w:style w:type="paragraph" w:styleId="Textocomentario">
    <w:name w:val="annotation text"/>
    <w:basedOn w:val="Normal"/>
    <w:link w:val="TextocomentarioCar"/>
    <w:uiPriority w:val="99"/>
    <w:semiHidden/>
    <w:unhideWhenUsed/>
    <w:rsid w:val="00C21A75"/>
    <w:rPr>
      <w:sz w:val="20"/>
      <w:szCs w:val="20"/>
    </w:rPr>
  </w:style>
  <w:style w:type="character" w:customStyle="1" w:styleId="TextocomentarioCar">
    <w:name w:val="Texto comentario Car"/>
    <w:link w:val="Textocomentario"/>
    <w:uiPriority w:val="99"/>
    <w:semiHidden/>
    <w:rsid w:val="000A4D17"/>
    <w:rPr>
      <w:rFonts w:ascii="Arial" w:eastAsia="Cambria" w:hAnsi="Arial" w:cs="Arial"/>
      <w:lang w:val="es-MX"/>
    </w:rPr>
  </w:style>
  <w:style w:type="paragraph" w:styleId="Asuntodelcomentario">
    <w:name w:val="annotation subject"/>
    <w:basedOn w:val="Textocomentario"/>
    <w:next w:val="Textocomentario"/>
    <w:link w:val="AsuntodelcomentarioCar"/>
    <w:uiPriority w:val="99"/>
    <w:semiHidden/>
    <w:unhideWhenUsed/>
    <w:rsid w:val="00C21A75"/>
    <w:rPr>
      <w:b/>
      <w:bCs/>
    </w:rPr>
  </w:style>
  <w:style w:type="character" w:customStyle="1" w:styleId="AsuntodelcomentarioCar">
    <w:name w:val="Asunto del comentario Car"/>
    <w:link w:val="Asuntodelcomentario"/>
    <w:uiPriority w:val="99"/>
    <w:semiHidden/>
    <w:rsid w:val="000A4D17"/>
    <w:rPr>
      <w:rFonts w:ascii="Arial" w:eastAsia="Cambria" w:hAnsi="Arial" w:cs="Arial"/>
      <w:b/>
      <w:bCs/>
      <w:lang w:val="es-MX"/>
    </w:rPr>
  </w:style>
  <w:style w:type="character" w:customStyle="1" w:styleId="Ttulo3Car">
    <w:name w:val="Título 3 Car"/>
    <w:basedOn w:val="Fuentedeprrafopredeter"/>
    <w:link w:val="Ttulo3"/>
    <w:uiPriority w:val="9"/>
    <w:rsid w:val="00C21A75"/>
    <w:rPr>
      <w:rFonts w:ascii="Arial" w:eastAsia="Cambria" w:hAnsi="Arial" w:cs="Arial"/>
      <w:b/>
      <w:sz w:val="18"/>
      <w:szCs w:val="18"/>
      <w:lang w:val="es-MX"/>
    </w:rPr>
  </w:style>
  <w:style w:type="table" w:styleId="Listaoscura-nfasis3">
    <w:name w:val="Dark List Accent 3"/>
    <w:basedOn w:val="Tablanormal"/>
    <w:uiPriority w:val="61"/>
    <w:rsid w:val="00C21A75"/>
    <w:rPr>
      <w:rFonts w:ascii="Calibri" w:eastAsia="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Hipervnculovisitado">
    <w:name w:val="FollowedHyperlink"/>
    <w:basedOn w:val="Fuentedeprrafopredeter"/>
    <w:uiPriority w:val="99"/>
    <w:semiHidden/>
    <w:unhideWhenUsed/>
    <w:rsid w:val="00D7207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5453">
      <w:bodyDiv w:val="1"/>
      <w:marLeft w:val="0"/>
      <w:marRight w:val="0"/>
      <w:marTop w:val="0"/>
      <w:marBottom w:val="0"/>
      <w:divBdr>
        <w:top w:val="none" w:sz="0" w:space="0" w:color="auto"/>
        <w:left w:val="none" w:sz="0" w:space="0" w:color="auto"/>
        <w:bottom w:val="none" w:sz="0" w:space="0" w:color="auto"/>
        <w:right w:val="none" w:sz="0" w:space="0" w:color="auto"/>
      </w:divBdr>
    </w:div>
    <w:div w:id="197549784">
      <w:bodyDiv w:val="1"/>
      <w:marLeft w:val="0"/>
      <w:marRight w:val="0"/>
      <w:marTop w:val="0"/>
      <w:marBottom w:val="0"/>
      <w:divBdr>
        <w:top w:val="none" w:sz="0" w:space="0" w:color="auto"/>
        <w:left w:val="none" w:sz="0" w:space="0" w:color="auto"/>
        <w:bottom w:val="none" w:sz="0" w:space="0" w:color="auto"/>
        <w:right w:val="none" w:sz="0" w:space="0" w:color="auto"/>
      </w:divBdr>
    </w:div>
    <w:div w:id="665790203">
      <w:bodyDiv w:val="1"/>
      <w:marLeft w:val="0"/>
      <w:marRight w:val="0"/>
      <w:marTop w:val="0"/>
      <w:marBottom w:val="0"/>
      <w:divBdr>
        <w:top w:val="none" w:sz="0" w:space="0" w:color="auto"/>
        <w:left w:val="none" w:sz="0" w:space="0" w:color="auto"/>
        <w:bottom w:val="none" w:sz="0" w:space="0" w:color="auto"/>
        <w:right w:val="none" w:sz="0" w:space="0" w:color="auto"/>
      </w:divBdr>
    </w:div>
    <w:div w:id="877009629">
      <w:bodyDiv w:val="1"/>
      <w:marLeft w:val="0"/>
      <w:marRight w:val="0"/>
      <w:marTop w:val="0"/>
      <w:marBottom w:val="0"/>
      <w:divBdr>
        <w:top w:val="none" w:sz="0" w:space="0" w:color="auto"/>
        <w:left w:val="none" w:sz="0" w:space="0" w:color="auto"/>
        <w:bottom w:val="none" w:sz="0" w:space="0" w:color="auto"/>
        <w:right w:val="none" w:sz="0" w:space="0" w:color="auto"/>
      </w:divBdr>
    </w:div>
    <w:div w:id="1023942330">
      <w:bodyDiv w:val="1"/>
      <w:marLeft w:val="0"/>
      <w:marRight w:val="0"/>
      <w:marTop w:val="0"/>
      <w:marBottom w:val="0"/>
      <w:divBdr>
        <w:top w:val="none" w:sz="0" w:space="0" w:color="auto"/>
        <w:left w:val="none" w:sz="0" w:space="0" w:color="auto"/>
        <w:bottom w:val="none" w:sz="0" w:space="0" w:color="auto"/>
        <w:right w:val="none" w:sz="0" w:space="0" w:color="auto"/>
      </w:divBdr>
    </w:div>
    <w:div w:id="1296446259">
      <w:bodyDiv w:val="1"/>
      <w:marLeft w:val="0"/>
      <w:marRight w:val="0"/>
      <w:marTop w:val="0"/>
      <w:marBottom w:val="0"/>
      <w:divBdr>
        <w:top w:val="none" w:sz="0" w:space="0" w:color="auto"/>
        <w:left w:val="none" w:sz="0" w:space="0" w:color="auto"/>
        <w:bottom w:val="none" w:sz="0" w:space="0" w:color="auto"/>
        <w:right w:val="none" w:sz="0" w:space="0" w:color="auto"/>
      </w:divBdr>
    </w:div>
    <w:div w:id="1805269248">
      <w:bodyDiv w:val="1"/>
      <w:marLeft w:val="0"/>
      <w:marRight w:val="0"/>
      <w:marTop w:val="0"/>
      <w:marBottom w:val="0"/>
      <w:divBdr>
        <w:top w:val="none" w:sz="0" w:space="0" w:color="auto"/>
        <w:left w:val="none" w:sz="0" w:space="0" w:color="auto"/>
        <w:bottom w:val="none" w:sz="0" w:space="0" w:color="auto"/>
        <w:right w:val="none" w:sz="0" w:space="0" w:color="auto"/>
      </w:divBdr>
    </w:div>
    <w:div w:id="21341325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wmf"/><Relationship Id="rId42" Type="http://schemas.openxmlformats.org/officeDocument/2006/relationships/image" Target="media/image28.wmf"/><Relationship Id="rId47"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10.png"/><Relationship Id="rId32" Type="http://schemas.openxmlformats.org/officeDocument/2006/relationships/image" Target="media/image18.wmf"/><Relationship Id="rId37" Type="http://schemas.openxmlformats.org/officeDocument/2006/relationships/image" Target="media/image23.png"/><Relationship Id="rId40" Type="http://schemas.openxmlformats.org/officeDocument/2006/relationships/image" Target="media/image26.wmf"/><Relationship Id="rId45"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wmf"/><Relationship Id="rId10" Type="http://schemas.openxmlformats.org/officeDocument/2006/relationships/styles" Target="styles.xml"/><Relationship Id="rId19" Type="http://schemas.openxmlformats.org/officeDocument/2006/relationships/image" Target="media/image5.png"/><Relationship Id="rId31" Type="http://schemas.openxmlformats.org/officeDocument/2006/relationships/image" Target="media/image17.jpeg"/><Relationship Id="rId44" Type="http://schemas.openxmlformats.org/officeDocument/2006/relationships/hyperlink" Target="http://www.transparenciapresupuestaria.gob.mx"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hyperlink" Target="http://www.financierarural.gob.mx" TargetMode="External"/><Relationship Id="rId48" Type="http://schemas.openxmlformats.org/officeDocument/2006/relationships/theme" Target="theme/theme1.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emf"/><Relationship Id="rId25" Type="http://schemas.openxmlformats.org/officeDocument/2006/relationships/image" Target="media/image11.png"/><Relationship Id="rId33" Type="http://schemas.openxmlformats.org/officeDocument/2006/relationships/image" Target="media/image19.emf"/><Relationship Id="rId38" Type="http://schemas.openxmlformats.org/officeDocument/2006/relationships/image" Target="media/image24.png"/><Relationship Id="rId46" Type="http://schemas.openxmlformats.org/officeDocument/2006/relationships/footer" Target="footer1.xml"/><Relationship Id="rId20" Type="http://schemas.openxmlformats.org/officeDocument/2006/relationships/image" Target="media/image6.png"/><Relationship Id="rId41" Type="http://schemas.openxmlformats.org/officeDocument/2006/relationships/image" Target="media/image2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20BA77-7833-45F1-BC1E-E14FE03CE618}">
  <ds:schemaRefs>
    <ds:schemaRef ds:uri="http://schemas.openxmlformats.org/officeDocument/2006/bibliography"/>
  </ds:schemaRefs>
</ds:datastoreItem>
</file>

<file path=customXml/itemProps2.xml><?xml version="1.0" encoding="utf-8"?>
<ds:datastoreItem xmlns:ds="http://schemas.openxmlformats.org/officeDocument/2006/customXml" ds:itemID="{A3E7E365-E7D4-E14A-8453-028EA1D5D5CC}">
  <ds:schemaRefs>
    <ds:schemaRef ds:uri="http://schemas.openxmlformats.org/officeDocument/2006/bibliography"/>
  </ds:schemaRefs>
</ds:datastoreItem>
</file>

<file path=customXml/itemProps3.xml><?xml version="1.0" encoding="utf-8"?>
<ds:datastoreItem xmlns:ds="http://schemas.openxmlformats.org/officeDocument/2006/customXml" ds:itemID="{D8669337-6F73-A84D-993E-F6EC621FE1F8}">
  <ds:schemaRefs>
    <ds:schemaRef ds:uri="http://schemas.openxmlformats.org/officeDocument/2006/bibliography"/>
  </ds:schemaRefs>
</ds:datastoreItem>
</file>

<file path=customXml/itemProps4.xml><?xml version="1.0" encoding="utf-8"?>
<ds:datastoreItem xmlns:ds="http://schemas.openxmlformats.org/officeDocument/2006/customXml" ds:itemID="{2D2E0DC7-E1B8-45DC-8E9A-5E2C0D68A52A}">
  <ds:schemaRefs>
    <ds:schemaRef ds:uri="http://schemas.openxmlformats.org/officeDocument/2006/bibliography"/>
  </ds:schemaRefs>
</ds:datastoreItem>
</file>

<file path=customXml/itemProps5.xml><?xml version="1.0" encoding="utf-8"?>
<ds:datastoreItem xmlns:ds="http://schemas.openxmlformats.org/officeDocument/2006/customXml" ds:itemID="{F517B9E6-2895-4FCF-8769-12B787B1FEFE}">
  <ds:schemaRefs>
    <ds:schemaRef ds:uri="http://schemas.openxmlformats.org/officeDocument/2006/bibliography"/>
  </ds:schemaRefs>
</ds:datastoreItem>
</file>

<file path=customXml/itemProps6.xml><?xml version="1.0" encoding="utf-8"?>
<ds:datastoreItem xmlns:ds="http://schemas.openxmlformats.org/officeDocument/2006/customXml" ds:itemID="{F5DFE6D4-F057-4C77-9488-874BC9302940}">
  <ds:schemaRefs>
    <ds:schemaRef ds:uri="http://schemas.openxmlformats.org/officeDocument/2006/bibliography"/>
  </ds:schemaRefs>
</ds:datastoreItem>
</file>

<file path=customXml/itemProps7.xml><?xml version="1.0" encoding="utf-8"?>
<ds:datastoreItem xmlns:ds="http://schemas.openxmlformats.org/officeDocument/2006/customXml" ds:itemID="{C30EC4ED-807C-4D3E-983E-2D148A2F4216}">
  <ds:schemaRefs>
    <ds:schemaRef ds:uri="http://schemas.openxmlformats.org/officeDocument/2006/bibliography"/>
  </ds:schemaRefs>
</ds:datastoreItem>
</file>

<file path=customXml/itemProps8.xml><?xml version="1.0" encoding="utf-8"?>
<ds:datastoreItem xmlns:ds="http://schemas.openxmlformats.org/officeDocument/2006/customXml" ds:itemID="{FFAD6CE1-15AD-4E6D-A9B4-BA9A00452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10236</Words>
  <Characters>56299</Characters>
  <Application>Microsoft Office Word</Application>
  <DocSecurity>0</DocSecurity>
  <Lines>469</Lines>
  <Paragraphs>132</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66403</CharactersWithSpaces>
  <SharedDoc>false</SharedDoc>
  <HLinks>
    <vt:vector size="90" baseType="variant">
      <vt:variant>
        <vt:i4>8323120</vt:i4>
      </vt:variant>
      <vt:variant>
        <vt:i4>87</vt:i4>
      </vt:variant>
      <vt:variant>
        <vt:i4>0</vt:i4>
      </vt:variant>
      <vt:variant>
        <vt:i4>5</vt:i4>
      </vt:variant>
      <vt:variant>
        <vt:lpwstr>http://www.transparenciapresupuestaria.gob.mx/</vt:lpwstr>
      </vt:variant>
      <vt:variant>
        <vt:lpwstr/>
      </vt:variant>
      <vt:variant>
        <vt:i4>8192060</vt:i4>
      </vt:variant>
      <vt:variant>
        <vt:i4>84</vt:i4>
      </vt:variant>
      <vt:variant>
        <vt:i4>0</vt:i4>
      </vt:variant>
      <vt:variant>
        <vt:i4>5</vt:i4>
      </vt:variant>
      <vt:variant>
        <vt:lpwstr>http://www.financierarural.gob.mx/</vt:lpwstr>
      </vt:variant>
      <vt:variant>
        <vt:lpwstr/>
      </vt:variant>
      <vt:variant>
        <vt:i4>1835059</vt:i4>
      </vt:variant>
      <vt:variant>
        <vt:i4>68</vt:i4>
      </vt:variant>
      <vt:variant>
        <vt:i4>0</vt:i4>
      </vt:variant>
      <vt:variant>
        <vt:i4>5</vt:i4>
      </vt:variant>
      <vt:variant>
        <vt:lpwstr/>
      </vt:variant>
      <vt:variant>
        <vt:lpwstr>_Toc386131532</vt:lpwstr>
      </vt:variant>
      <vt:variant>
        <vt:i4>1835059</vt:i4>
      </vt:variant>
      <vt:variant>
        <vt:i4>62</vt:i4>
      </vt:variant>
      <vt:variant>
        <vt:i4>0</vt:i4>
      </vt:variant>
      <vt:variant>
        <vt:i4>5</vt:i4>
      </vt:variant>
      <vt:variant>
        <vt:lpwstr/>
      </vt:variant>
      <vt:variant>
        <vt:lpwstr>_Toc386131531</vt:lpwstr>
      </vt:variant>
      <vt:variant>
        <vt:i4>1835059</vt:i4>
      </vt:variant>
      <vt:variant>
        <vt:i4>56</vt:i4>
      </vt:variant>
      <vt:variant>
        <vt:i4>0</vt:i4>
      </vt:variant>
      <vt:variant>
        <vt:i4>5</vt:i4>
      </vt:variant>
      <vt:variant>
        <vt:lpwstr/>
      </vt:variant>
      <vt:variant>
        <vt:lpwstr>_Toc386131530</vt:lpwstr>
      </vt:variant>
      <vt:variant>
        <vt:i4>1900595</vt:i4>
      </vt:variant>
      <vt:variant>
        <vt:i4>50</vt:i4>
      </vt:variant>
      <vt:variant>
        <vt:i4>0</vt:i4>
      </vt:variant>
      <vt:variant>
        <vt:i4>5</vt:i4>
      </vt:variant>
      <vt:variant>
        <vt:lpwstr/>
      </vt:variant>
      <vt:variant>
        <vt:lpwstr>_Toc386131529</vt:lpwstr>
      </vt:variant>
      <vt:variant>
        <vt:i4>1900595</vt:i4>
      </vt:variant>
      <vt:variant>
        <vt:i4>44</vt:i4>
      </vt:variant>
      <vt:variant>
        <vt:i4>0</vt:i4>
      </vt:variant>
      <vt:variant>
        <vt:i4>5</vt:i4>
      </vt:variant>
      <vt:variant>
        <vt:lpwstr/>
      </vt:variant>
      <vt:variant>
        <vt:lpwstr>_Toc386131528</vt:lpwstr>
      </vt:variant>
      <vt:variant>
        <vt:i4>1900595</vt:i4>
      </vt:variant>
      <vt:variant>
        <vt:i4>38</vt:i4>
      </vt:variant>
      <vt:variant>
        <vt:i4>0</vt:i4>
      </vt:variant>
      <vt:variant>
        <vt:i4>5</vt:i4>
      </vt:variant>
      <vt:variant>
        <vt:lpwstr/>
      </vt:variant>
      <vt:variant>
        <vt:lpwstr>_Toc386131527</vt:lpwstr>
      </vt:variant>
      <vt:variant>
        <vt:i4>1900595</vt:i4>
      </vt:variant>
      <vt:variant>
        <vt:i4>32</vt:i4>
      </vt:variant>
      <vt:variant>
        <vt:i4>0</vt:i4>
      </vt:variant>
      <vt:variant>
        <vt:i4>5</vt:i4>
      </vt:variant>
      <vt:variant>
        <vt:lpwstr/>
      </vt:variant>
      <vt:variant>
        <vt:lpwstr>_Toc386131526</vt:lpwstr>
      </vt:variant>
      <vt:variant>
        <vt:i4>1900595</vt:i4>
      </vt:variant>
      <vt:variant>
        <vt:i4>26</vt:i4>
      </vt:variant>
      <vt:variant>
        <vt:i4>0</vt:i4>
      </vt:variant>
      <vt:variant>
        <vt:i4>5</vt:i4>
      </vt:variant>
      <vt:variant>
        <vt:lpwstr/>
      </vt:variant>
      <vt:variant>
        <vt:lpwstr>_Toc386131525</vt:lpwstr>
      </vt:variant>
      <vt:variant>
        <vt:i4>1900595</vt:i4>
      </vt:variant>
      <vt:variant>
        <vt:i4>20</vt:i4>
      </vt:variant>
      <vt:variant>
        <vt:i4>0</vt:i4>
      </vt:variant>
      <vt:variant>
        <vt:i4>5</vt:i4>
      </vt:variant>
      <vt:variant>
        <vt:lpwstr/>
      </vt:variant>
      <vt:variant>
        <vt:lpwstr>_Toc386131524</vt:lpwstr>
      </vt:variant>
      <vt:variant>
        <vt:i4>1900595</vt:i4>
      </vt:variant>
      <vt:variant>
        <vt:i4>14</vt:i4>
      </vt:variant>
      <vt:variant>
        <vt:i4>0</vt:i4>
      </vt:variant>
      <vt:variant>
        <vt:i4>5</vt:i4>
      </vt:variant>
      <vt:variant>
        <vt:lpwstr/>
      </vt:variant>
      <vt:variant>
        <vt:lpwstr>_Toc386131523</vt:lpwstr>
      </vt:variant>
      <vt:variant>
        <vt:i4>1900595</vt:i4>
      </vt:variant>
      <vt:variant>
        <vt:i4>8</vt:i4>
      </vt:variant>
      <vt:variant>
        <vt:i4>0</vt:i4>
      </vt:variant>
      <vt:variant>
        <vt:i4>5</vt:i4>
      </vt:variant>
      <vt:variant>
        <vt:lpwstr/>
      </vt:variant>
      <vt:variant>
        <vt:lpwstr>_Toc386131522</vt:lpwstr>
      </vt:variant>
      <vt:variant>
        <vt:i4>1900595</vt:i4>
      </vt:variant>
      <vt:variant>
        <vt:i4>2</vt:i4>
      </vt:variant>
      <vt:variant>
        <vt:i4>0</vt:i4>
      </vt:variant>
      <vt:variant>
        <vt:i4>5</vt:i4>
      </vt:variant>
      <vt:variant>
        <vt:lpwstr/>
      </vt:variant>
      <vt:variant>
        <vt:lpwstr>_Toc386131521</vt:lpwstr>
      </vt:variant>
      <vt:variant>
        <vt:i4>3211359</vt:i4>
      </vt:variant>
      <vt:variant>
        <vt:i4>31137</vt:i4>
      </vt:variant>
      <vt:variant>
        <vt:i4>1043</vt:i4>
      </vt:variant>
      <vt:variant>
        <vt:i4>1</vt:i4>
      </vt:variant>
      <vt:variant>
        <vt:lpwstr>cid:image001.png@01CF5F24.6642D0F0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Perez</dc:creator>
  <cp:lastModifiedBy>Monica Gutierrez Flores</cp:lastModifiedBy>
  <cp:revision>2</cp:revision>
  <cp:lastPrinted>2014-04-29T14:37:00Z</cp:lastPrinted>
  <dcterms:created xsi:type="dcterms:W3CDTF">2018-11-27T16:23:00Z</dcterms:created>
  <dcterms:modified xsi:type="dcterms:W3CDTF">2018-11-27T16:23:00Z</dcterms:modified>
</cp:coreProperties>
</file>