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30FF0" w:rsidRDefault="00DE369C" w:rsidP="00DE369C">
      <w:pPr>
        <w:pStyle w:val="TITULO1APARTADO"/>
        <w:spacing w:line="460" w:lineRule="exact"/>
      </w:pPr>
      <w:r>
        <w:t>í</w:t>
      </w:r>
      <w:r w:rsidR="00A30FF0">
        <w:t>ndIce</w:t>
      </w:r>
      <w:r w:rsidR="00A30FF0" w:rsidRPr="00366D2B">
        <w:t xml:space="preserve"> </w:t>
      </w:r>
    </w:p>
    <w:p w:rsidR="00567E16" w:rsidRPr="00567E16" w:rsidRDefault="00567E16" w:rsidP="00567E16"/>
    <w:p w:rsidR="00A30FF0" w:rsidRPr="00676990" w:rsidRDefault="00A30FF0" w:rsidP="00A30FF0">
      <w:pPr>
        <w:tabs>
          <w:tab w:val="left" w:pos="8080"/>
        </w:tabs>
        <w:spacing w:after="0" w:line="240" w:lineRule="auto"/>
        <w:rPr>
          <w:rFonts w:ascii="Soberana Sans" w:eastAsia="Times New Roman" w:hAnsi="Soberana Sans" w:cs="Arial"/>
          <w:bCs/>
          <w:sz w:val="20"/>
          <w:szCs w:val="20"/>
          <w:lang w:val="es-ES" w:eastAsia="es-ES"/>
        </w:rPr>
      </w:pPr>
      <w:r>
        <w:rPr>
          <w:rFonts w:ascii="Soberana Sans" w:eastAsia="Times New Roman" w:hAnsi="Soberana Sans" w:cs="Arial"/>
          <w:bCs/>
          <w:sz w:val="20"/>
          <w:szCs w:val="20"/>
          <w:lang w:val="es-ES" w:eastAsia="es-ES"/>
        </w:rPr>
        <w:t>Marco Normativo</w:t>
      </w:r>
      <w:r w:rsidR="00063C1F">
        <w:rPr>
          <w:rFonts w:ascii="Soberana Sans" w:eastAsia="Times New Roman" w:hAnsi="Soberana Sans" w:cs="Arial"/>
          <w:bCs/>
          <w:sz w:val="20"/>
          <w:szCs w:val="20"/>
          <w:lang w:val="es-ES" w:eastAsia="es-ES"/>
        </w:rPr>
        <w:t>…………………………………………………………………………………………………………………………………………</w:t>
      </w:r>
      <w:r w:rsidR="00585522">
        <w:rPr>
          <w:rFonts w:ascii="Soberana Sans" w:eastAsia="Times New Roman" w:hAnsi="Soberana Sans" w:cs="Arial"/>
          <w:bCs/>
          <w:sz w:val="20"/>
          <w:szCs w:val="20"/>
          <w:lang w:val="es-ES" w:eastAsia="es-ES"/>
        </w:rPr>
        <w:t>……</w:t>
      </w:r>
      <w:r w:rsidR="00063C1F">
        <w:rPr>
          <w:rFonts w:ascii="Soberana Sans" w:eastAsia="Times New Roman" w:hAnsi="Soberana Sans" w:cs="Arial"/>
          <w:bCs/>
          <w:sz w:val="20"/>
          <w:szCs w:val="20"/>
          <w:lang w:val="es-ES" w:eastAsia="es-ES"/>
        </w:rPr>
        <w:t xml:space="preserve"> </w:t>
      </w:r>
      <w:r w:rsidR="00E60C16">
        <w:rPr>
          <w:rFonts w:ascii="Soberana Sans" w:eastAsia="Times New Roman" w:hAnsi="Soberana Sans" w:cs="Arial"/>
          <w:bCs/>
          <w:sz w:val="20"/>
          <w:szCs w:val="20"/>
          <w:lang w:val="es-ES" w:eastAsia="es-ES"/>
        </w:rPr>
        <w:t>2</w:t>
      </w:r>
      <w:r>
        <w:rPr>
          <w:rFonts w:ascii="Soberana Sans" w:eastAsia="Times New Roman" w:hAnsi="Soberana Sans" w:cs="Arial"/>
          <w:bCs/>
          <w:sz w:val="20"/>
          <w:szCs w:val="20"/>
          <w:lang w:val="es-ES" w:eastAsia="es-ES"/>
        </w:rPr>
        <w:tab/>
      </w:r>
    </w:p>
    <w:p w:rsidR="00063C1F" w:rsidRDefault="00063C1F" w:rsidP="00A30FF0">
      <w:pPr>
        <w:tabs>
          <w:tab w:val="left" w:pos="8080"/>
        </w:tabs>
        <w:spacing w:after="0" w:line="240" w:lineRule="auto"/>
        <w:rPr>
          <w:rFonts w:ascii="Soberana Sans" w:eastAsia="Times New Roman" w:hAnsi="Soberana Sans" w:cs="Arial"/>
          <w:bCs/>
          <w:sz w:val="20"/>
          <w:szCs w:val="20"/>
          <w:lang w:val="es-ES" w:eastAsia="es-ES"/>
        </w:rPr>
      </w:pPr>
    </w:p>
    <w:p w:rsidR="00A30FF0" w:rsidRPr="00676990" w:rsidRDefault="00A30FF0" w:rsidP="00A30FF0">
      <w:pPr>
        <w:tabs>
          <w:tab w:val="left" w:pos="8080"/>
        </w:tabs>
        <w:spacing w:after="0" w:line="240" w:lineRule="auto"/>
        <w:rPr>
          <w:rFonts w:ascii="Soberana Sans" w:eastAsia="Times New Roman" w:hAnsi="Soberana Sans" w:cs="Arial"/>
          <w:bCs/>
          <w:sz w:val="20"/>
          <w:szCs w:val="20"/>
          <w:lang w:val="es-ES" w:eastAsia="es-ES"/>
        </w:rPr>
      </w:pPr>
      <w:r w:rsidRPr="00676990">
        <w:rPr>
          <w:rFonts w:ascii="Soberana Sans" w:eastAsia="Times New Roman" w:hAnsi="Soberana Sans" w:cs="Arial"/>
          <w:bCs/>
          <w:sz w:val="20"/>
          <w:szCs w:val="20"/>
          <w:lang w:val="es-ES" w:eastAsia="es-ES"/>
        </w:rPr>
        <w:t>Resumen Ejecutivo</w:t>
      </w:r>
      <w:r w:rsidR="00063C1F">
        <w:rPr>
          <w:rFonts w:ascii="Soberana Sans" w:eastAsia="Times New Roman" w:hAnsi="Soberana Sans" w:cs="Arial"/>
          <w:bCs/>
          <w:sz w:val="20"/>
          <w:szCs w:val="20"/>
          <w:lang w:val="es-ES" w:eastAsia="es-ES"/>
        </w:rPr>
        <w:t>………………………………………………………………………………………………………………………………………</w:t>
      </w:r>
      <w:r w:rsidR="00585522">
        <w:rPr>
          <w:rFonts w:ascii="Soberana Sans" w:eastAsia="Times New Roman" w:hAnsi="Soberana Sans" w:cs="Arial"/>
          <w:bCs/>
          <w:sz w:val="20"/>
          <w:szCs w:val="20"/>
          <w:lang w:val="es-ES" w:eastAsia="es-ES"/>
        </w:rPr>
        <w:t>……</w:t>
      </w:r>
      <w:r w:rsidR="00E60C16">
        <w:rPr>
          <w:rFonts w:ascii="Soberana Sans" w:eastAsia="Times New Roman" w:hAnsi="Soberana Sans" w:cs="Arial"/>
          <w:bCs/>
          <w:sz w:val="20"/>
          <w:szCs w:val="20"/>
          <w:lang w:val="es-ES" w:eastAsia="es-ES"/>
        </w:rPr>
        <w:t xml:space="preserve"> 3</w:t>
      </w:r>
      <w:r>
        <w:rPr>
          <w:rFonts w:ascii="Soberana Sans" w:eastAsia="Times New Roman" w:hAnsi="Soberana Sans" w:cs="Arial"/>
          <w:bCs/>
          <w:sz w:val="20"/>
          <w:szCs w:val="20"/>
          <w:lang w:val="es-ES" w:eastAsia="es-ES"/>
        </w:rPr>
        <w:tab/>
        <w:t xml:space="preserve"> </w:t>
      </w:r>
    </w:p>
    <w:p w:rsidR="00063C1F" w:rsidRDefault="00063C1F" w:rsidP="00A30FF0">
      <w:pPr>
        <w:tabs>
          <w:tab w:val="left" w:pos="8080"/>
        </w:tabs>
        <w:spacing w:after="0" w:line="240" w:lineRule="auto"/>
        <w:rPr>
          <w:rFonts w:ascii="Soberana Sans" w:eastAsia="Times New Roman" w:hAnsi="Soberana Sans" w:cs="Arial"/>
          <w:bCs/>
          <w:sz w:val="20"/>
          <w:szCs w:val="20"/>
          <w:lang w:val="es-ES" w:eastAsia="es-ES"/>
        </w:rPr>
      </w:pPr>
    </w:p>
    <w:p w:rsidR="00A30FF0" w:rsidRDefault="00A30FF0" w:rsidP="00A30FF0">
      <w:pPr>
        <w:tabs>
          <w:tab w:val="left" w:pos="8080"/>
        </w:tabs>
        <w:spacing w:after="0" w:line="240" w:lineRule="auto"/>
        <w:rPr>
          <w:rFonts w:ascii="Soberana Sans" w:eastAsia="Times New Roman" w:hAnsi="Soberana Sans" w:cs="Arial"/>
          <w:bCs/>
          <w:sz w:val="20"/>
          <w:szCs w:val="20"/>
          <w:lang w:val="es-ES" w:eastAsia="es-ES"/>
        </w:rPr>
      </w:pPr>
      <w:r>
        <w:rPr>
          <w:rFonts w:ascii="Soberana Sans" w:eastAsia="Times New Roman" w:hAnsi="Soberana Sans" w:cs="Arial"/>
          <w:bCs/>
          <w:sz w:val="20"/>
          <w:szCs w:val="20"/>
          <w:lang w:val="es-ES" w:eastAsia="es-ES"/>
        </w:rPr>
        <w:t xml:space="preserve">Avances y Resultados </w:t>
      </w:r>
    </w:p>
    <w:p w:rsidR="003455E3" w:rsidRDefault="00A30FF0" w:rsidP="00A30FF0">
      <w:pPr>
        <w:tabs>
          <w:tab w:val="left" w:pos="8080"/>
        </w:tabs>
        <w:spacing w:after="0" w:line="240" w:lineRule="auto"/>
        <w:rPr>
          <w:rFonts w:ascii="Soberana Sans" w:eastAsia="Times New Roman" w:hAnsi="Soberana Sans" w:cs="Arial"/>
          <w:bCs/>
          <w:sz w:val="20"/>
          <w:szCs w:val="20"/>
          <w:lang w:val="es-ES" w:eastAsia="es-ES"/>
        </w:rPr>
      </w:pPr>
      <w:r w:rsidRPr="00DA1534">
        <w:rPr>
          <w:rFonts w:ascii="Soberana Sans" w:eastAsia="Times New Roman" w:hAnsi="Soberana Sans" w:cs="Arial"/>
          <w:bCs/>
          <w:sz w:val="20"/>
          <w:szCs w:val="20"/>
          <w:lang w:val="es-ES" w:eastAsia="es-ES"/>
        </w:rPr>
        <w:t>Objetivo 1. Incrementar el saldo de financiamiento,</w:t>
      </w:r>
      <w:r>
        <w:rPr>
          <w:rFonts w:ascii="Soberana Sans" w:eastAsia="Times New Roman" w:hAnsi="Soberana Sans" w:cs="Arial"/>
          <w:bCs/>
          <w:sz w:val="20"/>
          <w:szCs w:val="20"/>
          <w:lang w:val="es-ES" w:eastAsia="es-ES"/>
        </w:rPr>
        <w:t xml:space="preserve"> </w:t>
      </w:r>
      <w:r w:rsidRPr="00DA1534">
        <w:rPr>
          <w:rFonts w:ascii="Soberana Sans" w:eastAsia="Times New Roman" w:hAnsi="Soberana Sans" w:cs="Arial"/>
          <w:bCs/>
          <w:sz w:val="20"/>
          <w:szCs w:val="20"/>
          <w:lang w:val="es-ES" w:eastAsia="es-ES"/>
        </w:rPr>
        <w:t xml:space="preserve">mejorando las condiciones </w:t>
      </w:r>
    </w:p>
    <w:p w:rsidR="00A30FF0" w:rsidRPr="00676990" w:rsidRDefault="00A30FF0" w:rsidP="003455E3">
      <w:pPr>
        <w:tabs>
          <w:tab w:val="left" w:pos="8080"/>
        </w:tabs>
        <w:spacing w:after="0" w:line="240" w:lineRule="auto"/>
        <w:jc w:val="left"/>
        <w:rPr>
          <w:rFonts w:ascii="Soberana Sans" w:eastAsia="Times New Roman" w:hAnsi="Soberana Sans" w:cs="Arial"/>
          <w:bCs/>
          <w:sz w:val="20"/>
          <w:szCs w:val="20"/>
          <w:lang w:val="es-ES" w:eastAsia="es-ES"/>
        </w:rPr>
      </w:pPr>
      <w:r w:rsidRPr="00DA1534">
        <w:rPr>
          <w:rFonts w:ascii="Soberana Sans" w:eastAsia="Times New Roman" w:hAnsi="Soberana Sans" w:cs="Arial"/>
          <w:bCs/>
          <w:sz w:val="20"/>
          <w:szCs w:val="20"/>
          <w:lang w:val="es-ES" w:eastAsia="es-ES"/>
        </w:rPr>
        <w:t xml:space="preserve">a los sectores de atención en primer piso, </w:t>
      </w:r>
      <w:r>
        <w:rPr>
          <w:rFonts w:ascii="Soberana Sans" w:eastAsia="Times New Roman" w:hAnsi="Soberana Sans" w:cs="Arial"/>
          <w:bCs/>
          <w:sz w:val="20"/>
          <w:szCs w:val="20"/>
          <w:lang w:val="es-ES" w:eastAsia="es-ES"/>
        </w:rPr>
        <w:t>segundo piso e inducido</w:t>
      </w:r>
      <w:r w:rsidR="00063C1F">
        <w:rPr>
          <w:rFonts w:ascii="Soberana Sans" w:eastAsia="Times New Roman" w:hAnsi="Soberana Sans" w:cs="Arial"/>
          <w:bCs/>
          <w:sz w:val="20"/>
          <w:szCs w:val="20"/>
          <w:lang w:val="es-ES" w:eastAsia="es-ES"/>
        </w:rPr>
        <w:t>…………………………………………………</w:t>
      </w:r>
      <w:r w:rsidR="00585522">
        <w:rPr>
          <w:rFonts w:ascii="Soberana Sans" w:eastAsia="Times New Roman" w:hAnsi="Soberana Sans" w:cs="Arial"/>
          <w:bCs/>
          <w:sz w:val="20"/>
          <w:szCs w:val="20"/>
          <w:lang w:val="es-ES" w:eastAsia="es-ES"/>
        </w:rPr>
        <w:t>……</w:t>
      </w:r>
      <w:r w:rsidR="003455E3">
        <w:rPr>
          <w:rFonts w:ascii="Soberana Sans" w:eastAsia="Times New Roman" w:hAnsi="Soberana Sans" w:cs="Arial"/>
          <w:bCs/>
          <w:sz w:val="20"/>
          <w:szCs w:val="20"/>
          <w:lang w:val="es-ES" w:eastAsia="es-ES"/>
        </w:rPr>
        <w:t xml:space="preserve"> 5</w:t>
      </w:r>
    </w:p>
    <w:p w:rsidR="00A30FF0" w:rsidRPr="00063C1F" w:rsidRDefault="00A30FF0" w:rsidP="00143510">
      <w:pPr>
        <w:pStyle w:val="Prrafodelista"/>
        <w:numPr>
          <w:ilvl w:val="0"/>
          <w:numId w:val="13"/>
        </w:numPr>
        <w:tabs>
          <w:tab w:val="left" w:pos="8080"/>
        </w:tabs>
        <w:spacing w:after="0" w:line="240" w:lineRule="auto"/>
        <w:rPr>
          <w:rFonts w:ascii="Soberana Sans" w:eastAsia="Times New Roman" w:hAnsi="Soberana Sans" w:cs="Arial"/>
          <w:bCs/>
          <w:sz w:val="20"/>
          <w:szCs w:val="20"/>
          <w:lang w:val="es-ES" w:eastAsia="es-ES"/>
        </w:rPr>
      </w:pPr>
      <w:r w:rsidRPr="00063C1F">
        <w:rPr>
          <w:rFonts w:ascii="Soberana Sans" w:eastAsia="Times New Roman" w:hAnsi="Soberana Sans" w:cs="Arial"/>
          <w:bCs/>
          <w:sz w:val="20"/>
          <w:szCs w:val="20"/>
          <w:lang w:val="es-ES" w:eastAsia="es-ES"/>
        </w:rPr>
        <w:t>Resultado</w:t>
      </w:r>
      <w:r w:rsidR="00B84076">
        <w:rPr>
          <w:rFonts w:ascii="Soberana Sans" w:eastAsia="Times New Roman" w:hAnsi="Soberana Sans" w:cs="Arial"/>
          <w:bCs/>
          <w:sz w:val="20"/>
          <w:szCs w:val="20"/>
          <w:lang w:val="es-ES" w:eastAsia="es-ES"/>
        </w:rPr>
        <w:t>s</w:t>
      </w:r>
    </w:p>
    <w:p w:rsidR="00A30FF0" w:rsidRPr="00063C1F" w:rsidRDefault="00A30FF0" w:rsidP="00143510">
      <w:pPr>
        <w:pStyle w:val="Prrafodelista"/>
        <w:numPr>
          <w:ilvl w:val="0"/>
          <w:numId w:val="13"/>
        </w:numPr>
        <w:tabs>
          <w:tab w:val="left" w:pos="8080"/>
        </w:tabs>
        <w:spacing w:after="0" w:line="240" w:lineRule="auto"/>
        <w:rPr>
          <w:rFonts w:ascii="Soberana Sans" w:eastAsia="Times New Roman" w:hAnsi="Soberana Sans" w:cs="Arial"/>
          <w:bCs/>
          <w:sz w:val="20"/>
          <w:szCs w:val="20"/>
          <w:lang w:val="es-ES" w:eastAsia="es-ES"/>
        </w:rPr>
      </w:pPr>
      <w:r w:rsidRPr="00063C1F">
        <w:rPr>
          <w:rFonts w:ascii="Soberana Sans" w:eastAsia="Times New Roman" w:hAnsi="Soberana Sans" w:cs="Arial"/>
          <w:bCs/>
          <w:sz w:val="20"/>
          <w:szCs w:val="20"/>
          <w:lang w:val="es-ES" w:eastAsia="es-ES"/>
        </w:rPr>
        <w:t>Actividades relevantes</w:t>
      </w:r>
    </w:p>
    <w:p w:rsidR="00A30FF0" w:rsidRPr="00063C1F" w:rsidRDefault="003455E3" w:rsidP="00143510">
      <w:pPr>
        <w:pStyle w:val="Prrafodelista"/>
        <w:numPr>
          <w:ilvl w:val="0"/>
          <w:numId w:val="13"/>
        </w:numPr>
        <w:tabs>
          <w:tab w:val="left" w:pos="8080"/>
        </w:tabs>
        <w:spacing w:after="0" w:line="240" w:lineRule="auto"/>
        <w:rPr>
          <w:rFonts w:ascii="Soberana Sans" w:eastAsia="Times New Roman" w:hAnsi="Soberana Sans" w:cs="Arial"/>
          <w:bCs/>
          <w:sz w:val="20"/>
          <w:szCs w:val="20"/>
          <w:lang w:val="es-ES" w:eastAsia="es-ES"/>
        </w:rPr>
      </w:pPr>
      <w:r>
        <w:rPr>
          <w:rFonts w:ascii="Soberana Sans" w:eastAsia="Times New Roman" w:hAnsi="Soberana Sans" w:cs="Arial"/>
          <w:bCs/>
          <w:sz w:val="20"/>
          <w:szCs w:val="20"/>
          <w:lang w:val="es-ES" w:eastAsia="es-ES"/>
        </w:rPr>
        <w:t>Avance</w:t>
      </w:r>
      <w:r w:rsidR="00A30FF0" w:rsidRPr="00063C1F">
        <w:rPr>
          <w:rFonts w:ascii="Soberana Sans" w:eastAsia="Times New Roman" w:hAnsi="Soberana Sans" w:cs="Arial"/>
          <w:bCs/>
          <w:sz w:val="20"/>
          <w:szCs w:val="20"/>
          <w:lang w:val="es-ES" w:eastAsia="es-ES"/>
        </w:rPr>
        <w:t xml:space="preserve"> de los indicadores</w:t>
      </w:r>
    </w:p>
    <w:p w:rsidR="00567E16" w:rsidRDefault="00567E16" w:rsidP="00A30FF0">
      <w:pPr>
        <w:tabs>
          <w:tab w:val="left" w:pos="8080"/>
        </w:tabs>
        <w:spacing w:after="0" w:line="240" w:lineRule="auto"/>
        <w:rPr>
          <w:rFonts w:ascii="Soberana Sans" w:eastAsia="Times New Roman" w:hAnsi="Soberana Sans" w:cs="Arial"/>
          <w:bCs/>
          <w:sz w:val="20"/>
          <w:szCs w:val="20"/>
          <w:lang w:val="es-ES" w:eastAsia="es-ES"/>
        </w:rPr>
      </w:pPr>
    </w:p>
    <w:p w:rsidR="003455E3" w:rsidRDefault="00A30FF0" w:rsidP="00A30FF0">
      <w:pPr>
        <w:tabs>
          <w:tab w:val="left" w:pos="8080"/>
        </w:tabs>
        <w:spacing w:after="0" w:line="240" w:lineRule="auto"/>
        <w:rPr>
          <w:rFonts w:ascii="Soberana Sans" w:eastAsia="Times New Roman" w:hAnsi="Soberana Sans" w:cs="Arial"/>
          <w:bCs/>
          <w:sz w:val="20"/>
          <w:szCs w:val="20"/>
          <w:lang w:val="es-ES" w:eastAsia="es-ES"/>
        </w:rPr>
      </w:pPr>
      <w:r>
        <w:rPr>
          <w:rFonts w:ascii="Soberana Sans" w:eastAsia="Times New Roman" w:hAnsi="Soberana Sans" w:cs="Arial"/>
          <w:bCs/>
          <w:sz w:val="20"/>
          <w:szCs w:val="20"/>
          <w:lang w:val="es-ES" w:eastAsia="es-ES"/>
        </w:rPr>
        <w:t xml:space="preserve">Avances y Resultados </w:t>
      </w:r>
      <w:r w:rsidRPr="00676990">
        <w:rPr>
          <w:rFonts w:ascii="Soberana Sans" w:eastAsia="Times New Roman" w:hAnsi="Soberana Sans" w:cs="Arial"/>
          <w:bCs/>
          <w:sz w:val="20"/>
          <w:szCs w:val="20"/>
          <w:lang w:val="es-ES" w:eastAsia="es-ES"/>
        </w:rPr>
        <w:t>del Objetivo 2. Incrementar la inversión en activos fijos</w:t>
      </w:r>
    </w:p>
    <w:p w:rsidR="00A30FF0" w:rsidRDefault="00063C1F" w:rsidP="003455E3">
      <w:pPr>
        <w:tabs>
          <w:tab w:val="left" w:pos="8080"/>
        </w:tabs>
        <w:spacing w:after="0" w:line="240" w:lineRule="auto"/>
        <w:jc w:val="left"/>
        <w:rPr>
          <w:rFonts w:ascii="Soberana Sans" w:eastAsia="Times New Roman" w:hAnsi="Soberana Sans" w:cs="Arial"/>
          <w:bCs/>
          <w:sz w:val="20"/>
          <w:szCs w:val="20"/>
          <w:lang w:val="es-ES" w:eastAsia="es-ES"/>
        </w:rPr>
      </w:pPr>
      <w:r>
        <w:rPr>
          <w:rFonts w:ascii="Soberana Sans" w:eastAsia="Times New Roman" w:hAnsi="Soberana Sans" w:cs="Arial"/>
          <w:bCs/>
          <w:sz w:val="20"/>
          <w:szCs w:val="20"/>
          <w:lang w:val="es-ES" w:eastAsia="es-ES"/>
        </w:rPr>
        <w:t xml:space="preserve"> </w:t>
      </w:r>
      <w:r w:rsidR="00A30FF0" w:rsidRPr="00676990">
        <w:rPr>
          <w:rFonts w:ascii="Soberana Sans" w:eastAsia="Times New Roman" w:hAnsi="Soberana Sans" w:cs="Arial"/>
          <w:bCs/>
          <w:sz w:val="20"/>
          <w:szCs w:val="20"/>
          <w:lang w:val="es-ES" w:eastAsia="es-ES"/>
        </w:rPr>
        <w:t xml:space="preserve">para el sector agroalimentario y </w:t>
      </w:r>
      <w:r w:rsidR="00A30FF0">
        <w:rPr>
          <w:rFonts w:ascii="Soberana Sans" w:eastAsia="Times New Roman" w:hAnsi="Soberana Sans" w:cs="Arial"/>
          <w:bCs/>
          <w:sz w:val="20"/>
          <w:szCs w:val="20"/>
          <w:lang w:val="es-ES" w:eastAsia="es-ES"/>
        </w:rPr>
        <w:t>Rural</w:t>
      </w:r>
      <w:r>
        <w:rPr>
          <w:rFonts w:ascii="Soberana Sans" w:eastAsia="Times New Roman" w:hAnsi="Soberana Sans" w:cs="Arial"/>
          <w:bCs/>
          <w:sz w:val="20"/>
          <w:szCs w:val="20"/>
          <w:lang w:val="es-ES" w:eastAsia="es-ES"/>
        </w:rPr>
        <w:t>……………………………………………………………………………………………………</w:t>
      </w:r>
      <w:r w:rsidR="00585522">
        <w:rPr>
          <w:rFonts w:ascii="Soberana Sans" w:eastAsia="Times New Roman" w:hAnsi="Soberana Sans" w:cs="Arial"/>
          <w:bCs/>
          <w:sz w:val="20"/>
          <w:szCs w:val="20"/>
          <w:lang w:val="es-ES" w:eastAsia="es-ES"/>
        </w:rPr>
        <w:t>……</w:t>
      </w:r>
      <w:r w:rsidR="00E60C16">
        <w:rPr>
          <w:rFonts w:ascii="Soberana Sans" w:eastAsia="Times New Roman" w:hAnsi="Soberana Sans" w:cs="Arial"/>
          <w:bCs/>
          <w:sz w:val="20"/>
          <w:szCs w:val="20"/>
          <w:lang w:val="es-ES" w:eastAsia="es-ES"/>
        </w:rPr>
        <w:t xml:space="preserve"> 8</w:t>
      </w:r>
      <w:r w:rsidR="00A30FF0">
        <w:rPr>
          <w:rFonts w:ascii="Soberana Sans" w:eastAsia="Times New Roman" w:hAnsi="Soberana Sans" w:cs="Arial"/>
          <w:bCs/>
          <w:sz w:val="20"/>
          <w:szCs w:val="20"/>
          <w:lang w:val="es-ES" w:eastAsia="es-ES"/>
        </w:rPr>
        <w:tab/>
      </w:r>
    </w:p>
    <w:p w:rsidR="00A30FF0" w:rsidRPr="00063C1F" w:rsidRDefault="00A30FF0" w:rsidP="00143510">
      <w:pPr>
        <w:pStyle w:val="Prrafodelista"/>
        <w:numPr>
          <w:ilvl w:val="0"/>
          <w:numId w:val="14"/>
        </w:numPr>
        <w:tabs>
          <w:tab w:val="left" w:pos="8080"/>
        </w:tabs>
        <w:spacing w:after="0" w:line="240" w:lineRule="auto"/>
        <w:rPr>
          <w:rFonts w:ascii="Soberana Sans" w:eastAsia="Times New Roman" w:hAnsi="Soberana Sans" w:cs="Arial"/>
          <w:bCs/>
          <w:sz w:val="20"/>
          <w:szCs w:val="20"/>
          <w:lang w:val="es-ES" w:eastAsia="es-ES"/>
        </w:rPr>
      </w:pPr>
      <w:r w:rsidRPr="00063C1F">
        <w:rPr>
          <w:rFonts w:ascii="Soberana Sans" w:eastAsia="Times New Roman" w:hAnsi="Soberana Sans" w:cs="Arial"/>
          <w:bCs/>
          <w:sz w:val="20"/>
          <w:szCs w:val="20"/>
          <w:lang w:val="es-ES" w:eastAsia="es-ES"/>
        </w:rPr>
        <w:t>Resultado</w:t>
      </w:r>
      <w:r w:rsidR="00B84076">
        <w:rPr>
          <w:rFonts w:ascii="Soberana Sans" w:eastAsia="Times New Roman" w:hAnsi="Soberana Sans" w:cs="Arial"/>
          <w:bCs/>
          <w:sz w:val="20"/>
          <w:szCs w:val="20"/>
          <w:lang w:val="es-ES" w:eastAsia="es-ES"/>
        </w:rPr>
        <w:t>s</w:t>
      </w:r>
    </w:p>
    <w:p w:rsidR="00A30FF0" w:rsidRPr="00063C1F" w:rsidRDefault="00A30FF0" w:rsidP="00143510">
      <w:pPr>
        <w:pStyle w:val="Prrafodelista"/>
        <w:numPr>
          <w:ilvl w:val="0"/>
          <w:numId w:val="14"/>
        </w:numPr>
        <w:tabs>
          <w:tab w:val="left" w:pos="8080"/>
        </w:tabs>
        <w:spacing w:after="0" w:line="240" w:lineRule="auto"/>
        <w:rPr>
          <w:rFonts w:ascii="Soberana Sans" w:eastAsia="Times New Roman" w:hAnsi="Soberana Sans" w:cs="Arial"/>
          <w:bCs/>
          <w:sz w:val="20"/>
          <w:szCs w:val="20"/>
          <w:lang w:val="es-ES" w:eastAsia="es-ES"/>
        </w:rPr>
      </w:pPr>
      <w:r w:rsidRPr="00063C1F">
        <w:rPr>
          <w:rFonts w:ascii="Soberana Sans" w:eastAsia="Times New Roman" w:hAnsi="Soberana Sans" w:cs="Arial"/>
          <w:bCs/>
          <w:sz w:val="20"/>
          <w:szCs w:val="20"/>
          <w:lang w:val="es-ES" w:eastAsia="es-ES"/>
        </w:rPr>
        <w:t>Actividades relevantes</w:t>
      </w:r>
    </w:p>
    <w:p w:rsidR="00A30FF0" w:rsidRPr="00063C1F" w:rsidRDefault="003455E3" w:rsidP="00143510">
      <w:pPr>
        <w:pStyle w:val="Prrafodelista"/>
        <w:numPr>
          <w:ilvl w:val="0"/>
          <w:numId w:val="14"/>
        </w:numPr>
        <w:tabs>
          <w:tab w:val="left" w:pos="8080"/>
        </w:tabs>
        <w:spacing w:after="0" w:line="240" w:lineRule="auto"/>
        <w:rPr>
          <w:rFonts w:ascii="Soberana Sans" w:eastAsia="Times New Roman" w:hAnsi="Soberana Sans" w:cs="Arial"/>
          <w:bCs/>
          <w:sz w:val="20"/>
          <w:szCs w:val="20"/>
          <w:lang w:val="es-ES" w:eastAsia="es-ES"/>
        </w:rPr>
      </w:pPr>
      <w:r>
        <w:rPr>
          <w:rFonts w:ascii="Soberana Sans" w:eastAsia="Times New Roman" w:hAnsi="Soberana Sans" w:cs="Arial"/>
          <w:bCs/>
          <w:sz w:val="20"/>
          <w:szCs w:val="20"/>
          <w:lang w:val="es-ES" w:eastAsia="es-ES"/>
        </w:rPr>
        <w:t>Avance</w:t>
      </w:r>
      <w:r w:rsidR="00A30FF0" w:rsidRPr="00063C1F">
        <w:rPr>
          <w:rFonts w:ascii="Soberana Sans" w:eastAsia="Times New Roman" w:hAnsi="Soberana Sans" w:cs="Arial"/>
          <w:bCs/>
          <w:sz w:val="20"/>
          <w:szCs w:val="20"/>
          <w:lang w:val="es-ES" w:eastAsia="es-ES"/>
        </w:rPr>
        <w:t xml:space="preserve"> de los indicadores</w:t>
      </w:r>
    </w:p>
    <w:p w:rsidR="00567E16" w:rsidRDefault="00567E16" w:rsidP="00A30FF0">
      <w:pPr>
        <w:tabs>
          <w:tab w:val="left" w:pos="8080"/>
        </w:tabs>
        <w:spacing w:after="0" w:line="240" w:lineRule="auto"/>
        <w:rPr>
          <w:rFonts w:ascii="Soberana Sans" w:eastAsia="Times New Roman" w:hAnsi="Soberana Sans" w:cs="Arial"/>
          <w:bCs/>
          <w:sz w:val="20"/>
          <w:szCs w:val="20"/>
          <w:lang w:val="es-ES" w:eastAsia="es-ES"/>
        </w:rPr>
      </w:pPr>
    </w:p>
    <w:p w:rsidR="003455E3" w:rsidRDefault="00A30FF0" w:rsidP="00A30FF0">
      <w:pPr>
        <w:tabs>
          <w:tab w:val="left" w:pos="8080"/>
        </w:tabs>
        <w:spacing w:after="0" w:line="240" w:lineRule="auto"/>
        <w:rPr>
          <w:rFonts w:ascii="Soberana Sans" w:eastAsia="Times New Roman" w:hAnsi="Soberana Sans" w:cs="Arial"/>
          <w:bCs/>
          <w:sz w:val="20"/>
          <w:szCs w:val="20"/>
          <w:lang w:val="es-ES" w:eastAsia="es-ES"/>
        </w:rPr>
      </w:pPr>
      <w:r>
        <w:rPr>
          <w:rFonts w:ascii="Soberana Sans" w:eastAsia="Times New Roman" w:hAnsi="Soberana Sans" w:cs="Arial"/>
          <w:bCs/>
          <w:sz w:val="20"/>
          <w:szCs w:val="20"/>
          <w:lang w:val="es-ES" w:eastAsia="es-ES"/>
        </w:rPr>
        <w:t xml:space="preserve">Avances y Resultados </w:t>
      </w:r>
      <w:r w:rsidRPr="00676990">
        <w:rPr>
          <w:rFonts w:ascii="Soberana Sans" w:eastAsia="Times New Roman" w:hAnsi="Soberana Sans" w:cs="Arial"/>
          <w:bCs/>
          <w:sz w:val="20"/>
          <w:szCs w:val="20"/>
          <w:lang w:val="es-ES" w:eastAsia="es-ES"/>
        </w:rPr>
        <w:t>del Objetivo 3. Incrementar la oferta financiera</w:t>
      </w:r>
      <w:r w:rsidR="00063C1F">
        <w:rPr>
          <w:rFonts w:ascii="Soberana Sans" w:eastAsia="Times New Roman" w:hAnsi="Soberana Sans" w:cs="Arial"/>
          <w:bCs/>
          <w:sz w:val="20"/>
          <w:szCs w:val="20"/>
          <w:lang w:val="es-ES" w:eastAsia="es-ES"/>
        </w:rPr>
        <w:t xml:space="preserve"> </w:t>
      </w:r>
      <w:r w:rsidR="003455E3">
        <w:rPr>
          <w:rFonts w:ascii="Soberana Sans" w:eastAsia="Times New Roman" w:hAnsi="Soberana Sans" w:cs="Arial"/>
          <w:bCs/>
          <w:sz w:val="20"/>
          <w:szCs w:val="20"/>
          <w:lang w:val="es-ES" w:eastAsia="es-ES"/>
        </w:rPr>
        <w:t>con especial</w:t>
      </w:r>
    </w:p>
    <w:p w:rsidR="00A30FF0" w:rsidRPr="00676990" w:rsidRDefault="00A30FF0" w:rsidP="00A30FF0">
      <w:pPr>
        <w:tabs>
          <w:tab w:val="left" w:pos="8080"/>
        </w:tabs>
        <w:spacing w:after="0" w:line="240" w:lineRule="auto"/>
        <w:rPr>
          <w:rFonts w:ascii="Soberana Sans" w:eastAsia="Times New Roman" w:hAnsi="Soberana Sans" w:cs="Arial"/>
          <w:bCs/>
          <w:sz w:val="20"/>
          <w:szCs w:val="20"/>
          <w:lang w:val="es-ES" w:eastAsia="es-ES"/>
        </w:rPr>
      </w:pPr>
      <w:r w:rsidRPr="00676990">
        <w:rPr>
          <w:rFonts w:ascii="Soberana Sans" w:eastAsia="Times New Roman" w:hAnsi="Soberana Sans" w:cs="Arial"/>
          <w:bCs/>
          <w:sz w:val="20"/>
          <w:szCs w:val="20"/>
          <w:lang w:val="es-ES" w:eastAsia="es-ES"/>
        </w:rPr>
        <w:t>énfasis</w:t>
      </w:r>
      <w:r>
        <w:rPr>
          <w:rFonts w:ascii="Soberana Sans" w:eastAsia="Times New Roman" w:hAnsi="Soberana Sans" w:cs="Arial"/>
          <w:bCs/>
          <w:sz w:val="20"/>
          <w:szCs w:val="20"/>
          <w:lang w:val="es-ES" w:eastAsia="es-ES"/>
        </w:rPr>
        <w:t xml:space="preserve"> en Pequeños Productores</w:t>
      </w:r>
      <w:r w:rsidR="00063C1F">
        <w:rPr>
          <w:rFonts w:ascii="Soberana Sans" w:eastAsia="Times New Roman" w:hAnsi="Soberana Sans" w:cs="Arial"/>
          <w:bCs/>
          <w:sz w:val="20"/>
          <w:szCs w:val="20"/>
          <w:lang w:val="es-ES" w:eastAsia="es-ES"/>
        </w:rPr>
        <w:t>……………………………………</w:t>
      </w:r>
      <w:r w:rsidR="003455E3">
        <w:rPr>
          <w:rFonts w:ascii="Soberana Sans" w:eastAsia="Times New Roman" w:hAnsi="Soberana Sans" w:cs="Arial"/>
          <w:bCs/>
          <w:sz w:val="20"/>
          <w:szCs w:val="20"/>
          <w:lang w:val="es-ES" w:eastAsia="es-ES"/>
        </w:rPr>
        <w:t>...............................................................................</w:t>
      </w:r>
      <w:r w:rsidR="00585522">
        <w:rPr>
          <w:rFonts w:ascii="Soberana Sans" w:eastAsia="Times New Roman" w:hAnsi="Soberana Sans" w:cs="Arial"/>
          <w:bCs/>
          <w:sz w:val="20"/>
          <w:szCs w:val="20"/>
          <w:lang w:val="es-ES" w:eastAsia="es-ES"/>
        </w:rPr>
        <w:t>..</w:t>
      </w:r>
      <w:r w:rsidR="00E60C16">
        <w:rPr>
          <w:rFonts w:ascii="Soberana Sans" w:eastAsia="Times New Roman" w:hAnsi="Soberana Sans" w:cs="Arial"/>
          <w:bCs/>
          <w:sz w:val="20"/>
          <w:szCs w:val="20"/>
          <w:lang w:val="es-ES" w:eastAsia="es-ES"/>
        </w:rPr>
        <w:t xml:space="preserve"> 11</w:t>
      </w:r>
    </w:p>
    <w:p w:rsidR="00A30FF0" w:rsidRPr="00732D03" w:rsidRDefault="00A30FF0" w:rsidP="00143510">
      <w:pPr>
        <w:pStyle w:val="Prrafodelista"/>
        <w:numPr>
          <w:ilvl w:val="0"/>
          <w:numId w:val="15"/>
        </w:numPr>
        <w:tabs>
          <w:tab w:val="left" w:pos="8080"/>
        </w:tabs>
        <w:spacing w:after="0" w:line="240" w:lineRule="auto"/>
        <w:rPr>
          <w:rFonts w:ascii="Soberana Sans" w:eastAsia="Times New Roman" w:hAnsi="Soberana Sans" w:cs="Arial"/>
          <w:bCs/>
          <w:sz w:val="20"/>
          <w:szCs w:val="20"/>
          <w:lang w:val="es-ES" w:eastAsia="es-ES"/>
        </w:rPr>
      </w:pPr>
      <w:r w:rsidRPr="00732D03">
        <w:rPr>
          <w:rFonts w:ascii="Soberana Sans" w:eastAsia="Times New Roman" w:hAnsi="Soberana Sans" w:cs="Arial"/>
          <w:bCs/>
          <w:sz w:val="20"/>
          <w:szCs w:val="20"/>
          <w:lang w:val="es-ES" w:eastAsia="es-ES"/>
        </w:rPr>
        <w:t>Resultado</w:t>
      </w:r>
      <w:r w:rsidR="00B84076">
        <w:rPr>
          <w:rFonts w:ascii="Soberana Sans" w:eastAsia="Times New Roman" w:hAnsi="Soberana Sans" w:cs="Arial"/>
          <w:bCs/>
          <w:sz w:val="20"/>
          <w:szCs w:val="20"/>
          <w:lang w:val="es-ES" w:eastAsia="es-ES"/>
        </w:rPr>
        <w:t>s</w:t>
      </w:r>
    </w:p>
    <w:p w:rsidR="00A30FF0" w:rsidRPr="00732D03" w:rsidRDefault="00A30FF0" w:rsidP="00143510">
      <w:pPr>
        <w:pStyle w:val="Prrafodelista"/>
        <w:numPr>
          <w:ilvl w:val="0"/>
          <w:numId w:val="15"/>
        </w:numPr>
        <w:tabs>
          <w:tab w:val="left" w:pos="8080"/>
        </w:tabs>
        <w:spacing w:after="0" w:line="240" w:lineRule="auto"/>
        <w:rPr>
          <w:rFonts w:ascii="Soberana Sans" w:eastAsia="Times New Roman" w:hAnsi="Soberana Sans" w:cs="Arial"/>
          <w:bCs/>
          <w:sz w:val="20"/>
          <w:szCs w:val="20"/>
          <w:lang w:val="es-ES" w:eastAsia="es-ES"/>
        </w:rPr>
      </w:pPr>
      <w:r w:rsidRPr="00732D03">
        <w:rPr>
          <w:rFonts w:ascii="Soberana Sans" w:eastAsia="Times New Roman" w:hAnsi="Soberana Sans" w:cs="Arial"/>
          <w:bCs/>
          <w:sz w:val="20"/>
          <w:szCs w:val="20"/>
          <w:lang w:val="es-ES" w:eastAsia="es-ES"/>
        </w:rPr>
        <w:t>Actividades relevantes</w:t>
      </w:r>
    </w:p>
    <w:p w:rsidR="00A30FF0" w:rsidRPr="00732D03" w:rsidRDefault="003455E3" w:rsidP="00143510">
      <w:pPr>
        <w:pStyle w:val="Prrafodelista"/>
        <w:numPr>
          <w:ilvl w:val="0"/>
          <w:numId w:val="15"/>
        </w:numPr>
        <w:tabs>
          <w:tab w:val="left" w:pos="8080"/>
        </w:tabs>
        <w:spacing w:after="0" w:line="240" w:lineRule="auto"/>
        <w:rPr>
          <w:rFonts w:ascii="Soberana Sans" w:eastAsia="Times New Roman" w:hAnsi="Soberana Sans" w:cs="Arial"/>
          <w:bCs/>
          <w:sz w:val="20"/>
          <w:szCs w:val="20"/>
          <w:lang w:val="es-ES" w:eastAsia="es-ES"/>
        </w:rPr>
      </w:pPr>
      <w:r>
        <w:rPr>
          <w:rFonts w:ascii="Soberana Sans" w:eastAsia="Times New Roman" w:hAnsi="Soberana Sans" w:cs="Arial"/>
          <w:bCs/>
          <w:sz w:val="20"/>
          <w:szCs w:val="20"/>
          <w:lang w:val="es-ES" w:eastAsia="es-ES"/>
        </w:rPr>
        <w:t>Avance</w:t>
      </w:r>
      <w:r w:rsidR="00A30FF0" w:rsidRPr="00732D03">
        <w:rPr>
          <w:rFonts w:ascii="Soberana Sans" w:eastAsia="Times New Roman" w:hAnsi="Soberana Sans" w:cs="Arial"/>
          <w:bCs/>
          <w:sz w:val="20"/>
          <w:szCs w:val="20"/>
          <w:lang w:val="es-ES" w:eastAsia="es-ES"/>
        </w:rPr>
        <w:t xml:space="preserve"> de los indicadores</w:t>
      </w:r>
    </w:p>
    <w:p w:rsidR="00567E16" w:rsidRDefault="00567E16" w:rsidP="00A30FF0">
      <w:pPr>
        <w:tabs>
          <w:tab w:val="left" w:pos="8080"/>
        </w:tabs>
        <w:spacing w:after="0" w:line="240" w:lineRule="auto"/>
        <w:rPr>
          <w:rFonts w:ascii="Soberana Sans" w:eastAsia="Times New Roman" w:hAnsi="Soberana Sans" w:cs="Arial"/>
          <w:bCs/>
          <w:sz w:val="20"/>
          <w:szCs w:val="20"/>
          <w:lang w:val="es-ES" w:eastAsia="es-ES"/>
        </w:rPr>
      </w:pPr>
    </w:p>
    <w:p w:rsidR="003455E3" w:rsidRDefault="00A30FF0" w:rsidP="00567E16">
      <w:pPr>
        <w:tabs>
          <w:tab w:val="left" w:pos="8080"/>
        </w:tabs>
        <w:spacing w:after="0" w:line="240" w:lineRule="auto"/>
        <w:jc w:val="left"/>
        <w:rPr>
          <w:rFonts w:ascii="Soberana Sans" w:eastAsia="Times New Roman" w:hAnsi="Soberana Sans" w:cs="Arial"/>
          <w:bCs/>
          <w:sz w:val="20"/>
          <w:szCs w:val="20"/>
          <w:lang w:val="es-ES" w:eastAsia="es-ES"/>
        </w:rPr>
      </w:pPr>
      <w:r>
        <w:rPr>
          <w:rFonts w:ascii="Soberana Sans" w:eastAsia="Times New Roman" w:hAnsi="Soberana Sans" w:cs="Arial"/>
          <w:bCs/>
          <w:sz w:val="20"/>
          <w:szCs w:val="20"/>
          <w:lang w:val="es-ES" w:eastAsia="es-ES"/>
        </w:rPr>
        <w:t xml:space="preserve">Avances y Resultados </w:t>
      </w:r>
      <w:r w:rsidRPr="00676990">
        <w:rPr>
          <w:rFonts w:ascii="Soberana Sans" w:eastAsia="Times New Roman" w:hAnsi="Soberana Sans" w:cs="Arial"/>
          <w:bCs/>
          <w:sz w:val="20"/>
          <w:szCs w:val="20"/>
          <w:lang w:val="es-ES" w:eastAsia="es-ES"/>
        </w:rPr>
        <w:t>del Objetivo 4. Desarrollar y fortalecer Intermediarios</w:t>
      </w:r>
    </w:p>
    <w:p w:rsidR="00A30FF0" w:rsidRPr="00676990" w:rsidRDefault="00A30FF0" w:rsidP="00567E16">
      <w:pPr>
        <w:tabs>
          <w:tab w:val="left" w:pos="8080"/>
        </w:tabs>
        <w:spacing w:after="0" w:line="240" w:lineRule="auto"/>
        <w:jc w:val="left"/>
        <w:rPr>
          <w:rFonts w:ascii="Soberana Sans" w:eastAsia="Times New Roman" w:hAnsi="Soberana Sans" w:cs="Arial"/>
          <w:bCs/>
          <w:sz w:val="20"/>
          <w:szCs w:val="20"/>
          <w:lang w:val="es-ES" w:eastAsia="es-ES"/>
        </w:rPr>
      </w:pPr>
      <w:r w:rsidRPr="00676990">
        <w:rPr>
          <w:rFonts w:ascii="Soberana Sans" w:eastAsia="Times New Roman" w:hAnsi="Soberana Sans" w:cs="Arial"/>
          <w:bCs/>
          <w:sz w:val="20"/>
          <w:szCs w:val="20"/>
          <w:lang w:val="es-ES" w:eastAsia="es-ES"/>
        </w:rPr>
        <w:t>Financieros Rurales para lograr una cobertur</w:t>
      </w:r>
      <w:r>
        <w:rPr>
          <w:rFonts w:ascii="Soberana Sans" w:eastAsia="Times New Roman" w:hAnsi="Soberana Sans" w:cs="Arial"/>
          <w:bCs/>
          <w:sz w:val="20"/>
          <w:szCs w:val="20"/>
          <w:lang w:val="es-ES" w:eastAsia="es-ES"/>
        </w:rPr>
        <w:t>a nacional</w:t>
      </w:r>
      <w:r w:rsidR="00732D03">
        <w:rPr>
          <w:rFonts w:ascii="Soberana Sans" w:eastAsia="Times New Roman" w:hAnsi="Soberana Sans" w:cs="Arial"/>
          <w:bCs/>
          <w:sz w:val="20"/>
          <w:szCs w:val="20"/>
          <w:lang w:val="es-ES" w:eastAsia="es-ES"/>
        </w:rPr>
        <w:t>................................................................</w:t>
      </w:r>
      <w:r w:rsidR="00585522">
        <w:rPr>
          <w:rFonts w:ascii="Soberana Sans" w:eastAsia="Times New Roman" w:hAnsi="Soberana Sans" w:cs="Arial"/>
          <w:bCs/>
          <w:sz w:val="20"/>
          <w:szCs w:val="20"/>
          <w:lang w:val="es-ES" w:eastAsia="es-ES"/>
        </w:rPr>
        <w:t>...............</w:t>
      </w:r>
      <w:r w:rsidR="00E60C16">
        <w:rPr>
          <w:rFonts w:ascii="Soberana Sans" w:eastAsia="Times New Roman" w:hAnsi="Soberana Sans" w:cs="Arial"/>
          <w:bCs/>
          <w:sz w:val="20"/>
          <w:szCs w:val="20"/>
          <w:lang w:val="es-ES" w:eastAsia="es-ES"/>
        </w:rPr>
        <w:t xml:space="preserve"> 13</w:t>
      </w:r>
    </w:p>
    <w:p w:rsidR="00A30FF0" w:rsidRPr="00732D03" w:rsidRDefault="00A30FF0" w:rsidP="00143510">
      <w:pPr>
        <w:pStyle w:val="Prrafodelista"/>
        <w:numPr>
          <w:ilvl w:val="0"/>
          <w:numId w:val="16"/>
        </w:numPr>
        <w:tabs>
          <w:tab w:val="left" w:pos="8080"/>
        </w:tabs>
        <w:spacing w:after="0" w:line="240" w:lineRule="auto"/>
        <w:rPr>
          <w:rFonts w:ascii="Soberana Sans" w:eastAsia="Times New Roman" w:hAnsi="Soberana Sans" w:cs="Arial"/>
          <w:bCs/>
          <w:sz w:val="20"/>
          <w:szCs w:val="20"/>
          <w:lang w:val="es-ES" w:eastAsia="es-ES"/>
        </w:rPr>
      </w:pPr>
      <w:r w:rsidRPr="00732D03">
        <w:rPr>
          <w:rFonts w:ascii="Soberana Sans" w:eastAsia="Times New Roman" w:hAnsi="Soberana Sans" w:cs="Arial"/>
          <w:bCs/>
          <w:sz w:val="20"/>
          <w:szCs w:val="20"/>
          <w:lang w:val="es-ES" w:eastAsia="es-ES"/>
        </w:rPr>
        <w:t>Resultado</w:t>
      </w:r>
      <w:r w:rsidR="00B84076">
        <w:rPr>
          <w:rFonts w:ascii="Soberana Sans" w:eastAsia="Times New Roman" w:hAnsi="Soberana Sans" w:cs="Arial"/>
          <w:bCs/>
          <w:sz w:val="20"/>
          <w:szCs w:val="20"/>
          <w:lang w:val="es-ES" w:eastAsia="es-ES"/>
        </w:rPr>
        <w:t>s</w:t>
      </w:r>
    </w:p>
    <w:p w:rsidR="00A30FF0" w:rsidRPr="00732D03" w:rsidRDefault="00A30FF0" w:rsidP="00143510">
      <w:pPr>
        <w:pStyle w:val="Prrafodelista"/>
        <w:numPr>
          <w:ilvl w:val="0"/>
          <w:numId w:val="16"/>
        </w:numPr>
        <w:tabs>
          <w:tab w:val="left" w:pos="8080"/>
        </w:tabs>
        <w:spacing w:after="0" w:line="240" w:lineRule="auto"/>
        <w:rPr>
          <w:rFonts w:ascii="Soberana Sans" w:eastAsia="Times New Roman" w:hAnsi="Soberana Sans" w:cs="Arial"/>
          <w:bCs/>
          <w:sz w:val="20"/>
          <w:szCs w:val="20"/>
          <w:lang w:val="es-ES" w:eastAsia="es-ES"/>
        </w:rPr>
      </w:pPr>
      <w:r w:rsidRPr="00732D03">
        <w:rPr>
          <w:rFonts w:ascii="Soberana Sans" w:eastAsia="Times New Roman" w:hAnsi="Soberana Sans" w:cs="Arial"/>
          <w:bCs/>
          <w:sz w:val="20"/>
          <w:szCs w:val="20"/>
          <w:lang w:val="es-ES" w:eastAsia="es-ES"/>
        </w:rPr>
        <w:t>Actividades relevantes</w:t>
      </w:r>
    </w:p>
    <w:p w:rsidR="00A30FF0" w:rsidRPr="00732D03" w:rsidRDefault="003455E3" w:rsidP="00143510">
      <w:pPr>
        <w:pStyle w:val="Prrafodelista"/>
        <w:numPr>
          <w:ilvl w:val="0"/>
          <w:numId w:val="16"/>
        </w:numPr>
        <w:tabs>
          <w:tab w:val="left" w:pos="8080"/>
        </w:tabs>
        <w:spacing w:after="0" w:line="240" w:lineRule="auto"/>
        <w:rPr>
          <w:rFonts w:ascii="Soberana Sans" w:eastAsia="Times New Roman" w:hAnsi="Soberana Sans" w:cs="Arial"/>
          <w:bCs/>
          <w:sz w:val="20"/>
          <w:szCs w:val="20"/>
          <w:lang w:val="es-ES" w:eastAsia="es-ES"/>
        </w:rPr>
      </w:pPr>
      <w:r>
        <w:rPr>
          <w:rFonts w:ascii="Soberana Sans" w:eastAsia="Times New Roman" w:hAnsi="Soberana Sans" w:cs="Arial"/>
          <w:bCs/>
          <w:sz w:val="20"/>
          <w:szCs w:val="20"/>
          <w:lang w:val="es-ES" w:eastAsia="es-ES"/>
        </w:rPr>
        <w:t>Avance</w:t>
      </w:r>
      <w:r w:rsidR="00A30FF0" w:rsidRPr="00732D03">
        <w:rPr>
          <w:rFonts w:ascii="Soberana Sans" w:eastAsia="Times New Roman" w:hAnsi="Soberana Sans" w:cs="Arial"/>
          <w:bCs/>
          <w:sz w:val="20"/>
          <w:szCs w:val="20"/>
          <w:lang w:val="es-ES" w:eastAsia="es-ES"/>
        </w:rPr>
        <w:t xml:space="preserve"> de los indicadores</w:t>
      </w:r>
    </w:p>
    <w:p w:rsidR="00567E16" w:rsidRDefault="00567E16" w:rsidP="00A30FF0">
      <w:pPr>
        <w:tabs>
          <w:tab w:val="left" w:pos="8080"/>
        </w:tabs>
        <w:spacing w:after="0" w:line="240" w:lineRule="auto"/>
        <w:rPr>
          <w:rFonts w:ascii="Soberana Sans" w:eastAsia="Times New Roman" w:hAnsi="Soberana Sans" w:cs="Arial"/>
          <w:bCs/>
          <w:sz w:val="20"/>
          <w:szCs w:val="20"/>
          <w:lang w:val="es-ES" w:eastAsia="es-ES"/>
        </w:rPr>
      </w:pPr>
    </w:p>
    <w:p w:rsidR="003455E3" w:rsidRDefault="00A30FF0" w:rsidP="00A30FF0">
      <w:pPr>
        <w:tabs>
          <w:tab w:val="left" w:pos="8080"/>
        </w:tabs>
        <w:spacing w:after="0" w:line="240" w:lineRule="auto"/>
        <w:rPr>
          <w:rFonts w:ascii="Soberana Sans" w:eastAsia="Times New Roman" w:hAnsi="Soberana Sans" w:cs="Arial"/>
          <w:bCs/>
          <w:sz w:val="20"/>
          <w:szCs w:val="20"/>
          <w:lang w:val="es-ES" w:eastAsia="es-ES"/>
        </w:rPr>
      </w:pPr>
      <w:r>
        <w:rPr>
          <w:rFonts w:ascii="Soberana Sans" w:eastAsia="Times New Roman" w:hAnsi="Soberana Sans" w:cs="Arial"/>
          <w:bCs/>
          <w:sz w:val="20"/>
          <w:szCs w:val="20"/>
          <w:lang w:val="es-ES" w:eastAsia="es-ES"/>
        </w:rPr>
        <w:t xml:space="preserve">Avances y Resultados </w:t>
      </w:r>
      <w:r w:rsidRPr="00676990">
        <w:rPr>
          <w:rFonts w:ascii="Soberana Sans" w:eastAsia="Times New Roman" w:hAnsi="Soberana Sans" w:cs="Arial"/>
          <w:bCs/>
          <w:sz w:val="20"/>
          <w:szCs w:val="20"/>
          <w:lang w:val="es-ES" w:eastAsia="es-ES"/>
        </w:rPr>
        <w:t>del Objetivo 5. Increment</w:t>
      </w:r>
      <w:r w:rsidR="003455E3">
        <w:rPr>
          <w:rFonts w:ascii="Soberana Sans" w:eastAsia="Times New Roman" w:hAnsi="Soberana Sans" w:cs="Arial"/>
          <w:bCs/>
          <w:sz w:val="20"/>
          <w:szCs w:val="20"/>
          <w:lang w:val="es-ES" w:eastAsia="es-ES"/>
        </w:rPr>
        <w:t>ar la cobertura de servicios de</w:t>
      </w:r>
    </w:p>
    <w:p w:rsidR="00A30FF0" w:rsidRPr="00676990" w:rsidRDefault="00A30FF0" w:rsidP="00A30FF0">
      <w:pPr>
        <w:tabs>
          <w:tab w:val="left" w:pos="8080"/>
        </w:tabs>
        <w:spacing w:after="0" w:line="240" w:lineRule="auto"/>
        <w:rPr>
          <w:rFonts w:ascii="Soberana Sans" w:eastAsia="Times New Roman" w:hAnsi="Soberana Sans" w:cs="Arial"/>
          <w:bCs/>
          <w:sz w:val="20"/>
          <w:szCs w:val="20"/>
          <w:lang w:val="es-ES" w:eastAsia="es-ES"/>
        </w:rPr>
      </w:pPr>
      <w:r w:rsidRPr="00676990">
        <w:rPr>
          <w:rFonts w:ascii="Soberana Sans" w:eastAsia="Times New Roman" w:hAnsi="Soberana Sans" w:cs="Arial"/>
          <w:bCs/>
          <w:sz w:val="20"/>
          <w:szCs w:val="20"/>
          <w:lang w:val="es-ES" w:eastAsia="es-ES"/>
        </w:rPr>
        <w:t xml:space="preserve">la </w:t>
      </w:r>
      <w:r>
        <w:rPr>
          <w:rFonts w:ascii="Soberana Sans" w:eastAsia="Times New Roman" w:hAnsi="Soberana Sans" w:cs="Arial"/>
          <w:bCs/>
          <w:sz w:val="20"/>
          <w:szCs w:val="20"/>
          <w:lang w:val="es-ES" w:eastAsia="es-ES"/>
        </w:rPr>
        <w:t>Institución</w:t>
      </w:r>
      <w:r w:rsidR="003455E3">
        <w:rPr>
          <w:rFonts w:ascii="Soberana Sans" w:eastAsia="Times New Roman" w:hAnsi="Soberana Sans" w:cs="Arial"/>
          <w:bCs/>
          <w:sz w:val="20"/>
          <w:szCs w:val="20"/>
          <w:lang w:val="es-ES" w:eastAsia="es-ES"/>
        </w:rPr>
        <w:t>………</w:t>
      </w:r>
      <w:r w:rsidR="00D0013F">
        <w:rPr>
          <w:rFonts w:ascii="Soberana Sans" w:eastAsia="Times New Roman" w:hAnsi="Soberana Sans" w:cs="Arial"/>
          <w:bCs/>
          <w:sz w:val="20"/>
          <w:szCs w:val="20"/>
          <w:lang w:val="es-ES" w:eastAsia="es-ES"/>
        </w:rPr>
        <w:t>…….</w:t>
      </w:r>
      <w:r w:rsidR="003455E3">
        <w:rPr>
          <w:rFonts w:ascii="Soberana Sans" w:eastAsia="Times New Roman" w:hAnsi="Soberana Sans" w:cs="Arial"/>
          <w:bCs/>
          <w:sz w:val="20"/>
          <w:szCs w:val="20"/>
          <w:lang w:val="es-ES" w:eastAsia="es-ES"/>
        </w:rPr>
        <w:t>.</w:t>
      </w:r>
      <w:r w:rsidR="00732D03">
        <w:rPr>
          <w:rFonts w:ascii="Soberana Sans" w:eastAsia="Times New Roman" w:hAnsi="Soberana Sans" w:cs="Arial"/>
          <w:bCs/>
          <w:sz w:val="20"/>
          <w:szCs w:val="20"/>
          <w:lang w:val="es-ES" w:eastAsia="es-ES"/>
        </w:rPr>
        <w:t>………</w:t>
      </w:r>
      <w:r w:rsidR="003455E3">
        <w:rPr>
          <w:rFonts w:ascii="Soberana Sans" w:eastAsia="Times New Roman" w:hAnsi="Soberana Sans" w:cs="Arial"/>
          <w:bCs/>
          <w:sz w:val="20"/>
          <w:szCs w:val="20"/>
          <w:lang w:val="es-ES" w:eastAsia="es-ES"/>
        </w:rPr>
        <w:t>……………………………………………………</w:t>
      </w:r>
      <w:r w:rsidR="00E60C16">
        <w:rPr>
          <w:rFonts w:ascii="Soberana Sans" w:eastAsia="Times New Roman" w:hAnsi="Soberana Sans" w:cs="Arial"/>
          <w:bCs/>
          <w:sz w:val="20"/>
          <w:szCs w:val="20"/>
          <w:lang w:val="es-ES" w:eastAsia="es-ES"/>
        </w:rPr>
        <w:t>……………………………………………………………………….. 16</w:t>
      </w:r>
    </w:p>
    <w:p w:rsidR="00A30FF0" w:rsidRPr="00732D03" w:rsidRDefault="00A30FF0" w:rsidP="00143510">
      <w:pPr>
        <w:pStyle w:val="Prrafodelista"/>
        <w:numPr>
          <w:ilvl w:val="0"/>
          <w:numId w:val="17"/>
        </w:numPr>
        <w:tabs>
          <w:tab w:val="left" w:pos="8080"/>
        </w:tabs>
        <w:spacing w:after="0" w:line="240" w:lineRule="auto"/>
        <w:rPr>
          <w:rFonts w:ascii="Soberana Sans" w:eastAsia="Times New Roman" w:hAnsi="Soberana Sans" w:cs="Arial"/>
          <w:bCs/>
          <w:sz w:val="20"/>
          <w:szCs w:val="20"/>
          <w:lang w:val="es-ES" w:eastAsia="es-ES"/>
        </w:rPr>
      </w:pPr>
      <w:r w:rsidRPr="00732D03">
        <w:rPr>
          <w:rFonts w:ascii="Soberana Sans" w:eastAsia="Times New Roman" w:hAnsi="Soberana Sans" w:cs="Arial"/>
          <w:bCs/>
          <w:sz w:val="20"/>
          <w:szCs w:val="20"/>
          <w:lang w:val="es-ES" w:eastAsia="es-ES"/>
        </w:rPr>
        <w:t>Resultado</w:t>
      </w:r>
      <w:r w:rsidR="00B84076">
        <w:rPr>
          <w:rFonts w:ascii="Soberana Sans" w:eastAsia="Times New Roman" w:hAnsi="Soberana Sans" w:cs="Arial"/>
          <w:bCs/>
          <w:sz w:val="20"/>
          <w:szCs w:val="20"/>
          <w:lang w:val="es-ES" w:eastAsia="es-ES"/>
        </w:rPr>
        <w:t>s</w:t>
      </w:r>
    </w:p>
    <w:p w:rsidR="00A30FF0" w:rsidRPr="00732D03" w:rsidRDefault="00A30FF0" w:rsidP="00143510">
      <w:pPr>
        <w:pStyle w:val="Prrafodelista"/>
        <w:numPr>
          <w:ilvl w:val="0"/>
          <w:numId w:val="17"/>
        </w:numPr>
        <w:tabs>
          <w:tab w:val="left" w:pos="8080"/>
        </w:tabs>
        <w:spacing w:after="0" w:line="240" w:lineRule="auto"/>
        <w:rPr>
          <w:rFonts w:ascii="Soberana Sans" w:eastAsia="Times New Roman" w:hAnsi="Soberana Sans" w:cs="Arial"/>
          <w:bCs/>
          <w:sz w:val="20"/>
          <w:szCs w:val="20"/>
          <w:lang w:val="es-ES" w:eastAsia="es-ES"/>
        </w:rPr>
      </w:pPr>
      <w:r w:rsidRPr="00732D03">
        <w:rPr>
          <w:rFonts w:ascii="Soberana Sans" w:eastAsia="Times New Roman" w:hAnsi="Soberana Sans" w:cs="Arial"/>
          <w:bCs/>
          <w:sz w:val="20"/>
          <w:szCs w:val="20"/>
          <w:lang w:val="es-ES" w:eastAsia="es-ES"/>
        </w:rPr>
        <w:t>Actividades relevantes</w:t>
      </w:r>
    </w:p>
    <w:p w:rsidR="00A30FF0" w:rsidRPr="00732D03" w:rsidRDefault="003455E3" w:rsidP="00143510">
      <w:pPr>
        <w:pStyle w:val="Prrafodelista"/>
        <w:numPr>
          <w:ilvl w:val="0"/>
          <w:numId w:val="17"/>
        </w:numPr>
        <w:tabs>
          <w:tab w:val="left" w:pos="8080"/>
        </w:tabs>
        <w:spacing w:after="0" w:line="240" w:lineRule="auto"/>
        <w:rPr>
          <w:rFonts w:ascii="Soberana Sans" w:eastAsia="Times New Roman" w:hAnsi="Soberana Sans" w:cs="Arial"/>
          <w:bCs/>
          <w:sz w:val="20"/>
          <w:szCs w:val="20"/>
          <w:lang w:val="es-ES" w:eastAsia="es-ES"/>
        </w:rPr>
      </w:pPr>
      <w:r>
        <w:rPr>
          <w:rFonts w:ascii="Soberana Sans" w:eastAsia="Times New Roman" w:hAnsi="Soberana Sans" w:cs="Arial"/>
          <w:bCs/>
          <w:sz w:val="20"/>
          <w:szCs w:val="20"/>
          <w:lang w:val="es-ES" w:eastAsia="es-ES"/>
        </w:rPr>
        <w:t>Avance</w:t>
      </w:r>
      <w:r w:rsidR="00A30FF0" w:rsidRPr="00732D03">
        <w:rPr>
          <w:rFonts w:ascii="Soberana Sans" w:eastAsia="Times New Roman" w:hAnsi="Soberana Sans" w:cs="Arial"/>
          <w:bCs/>
          <w:sz w:val="20"/>
          <w:szCs w:val="20"/>
          <w:lang w:val="es-ES" w:eastAsia="es-ES"/>
        </w:rPr>
        <w:t xml:space="preserve"> de los indicadores</w:t>
      </w:r>
    </w:p>
    <w:p w:rsidR="00567E16" w:rsidRDefault="00567E16" w:rsidP="00A30FF0">
      <w:pPr>
        <w:tabs>
          <w:tab w:val="left" w:pos="8080"/>
        </w:tabs>
        <w:spacing w:after="0" w:line="240" w:lineRule="auto"/>
        <w:rPr>
          <w:rFonts w:ascii="Soberana Sans" w:eastAsia="Times New Roman" w:hAnsi="Soberana Sans" w:cs="Arial"/>
          <w:bCs/>
          <w:sz w:val="20"/>
          <w:szCs w:val="20"/>
          <w:lang w:val="es-ES" w:eastAsia="es-ES"/>
        </w:rPr>
      </w:pPr>
    </w:p>
    <w:p w:rsidR="00A30FF0" w:rsidRDefault="00A30FF0" w:rsidP="00A30FF0">
      <w:pPr>
        <w:tabs>
          <w:tab w:val="left" w:pos="8080"/>
        </w:tabs>
        <w:spacing w:after="0" w:line="240" w:lineRule="auto"/>
        <w:rPr>
          <w:rFonts w:ascii="Soberana Sans" w:eastAsia="Times New Roman" w:hAnsi="Soberana Sans" w:cs="Arial"/>
          <w:bCs/>
          <w:sz w:val="20"/>
          <w:szCs w:val="20"/>
          <w:lang w:val="es-ES" w:eastAsia="es-ES"/>
        </w:rPr>
      </w:pPr>
      <w:r>
        <w:rPr>
          <w:rFonts w:ascii="Soberana Sans" w:eastAsia="Times New Roman" w:hAnsi="Soberana Sans" w:cs="Arial"/>
          <w:bCs/>
          <w:sz w:val="20"/>
          <w:szCs w:val="20"/>
          <w:lang w:val="es-ES" w:eastAsia="es-ES"/>
        </w:rPr>
        <w:t xml:space="preserve">Avances y Resultados </w:t>
      </w:r>
      <w:r w:rsidRPr="00676990">
        <w:rPr>
          <w:rFonts w:ascii="Soberana Sans" w:eastAsia="Times New Roman" w:hAnsi="Soberana Sans" w:cs="Arial"/>
          <w:bCs/>
          <w:sz w:val="20"/>
          <w:szCs w:val="20"/>
          <w:lang w:val="es-ES" w:eastAsia="es-ES"/>
        </w:rPr>
        <w:t>del Objetivo 6. Mantener la sustentabilidad de la Institució</w:t>
      </w:r>
      <w:r>
        <w:rPr>
          <w:rFonts w:ascii="Soberana Sans" w:eastAsia="Times New Roman" w:hAnsi="Soberana Sans" w:cs="Arial"/>
          <w:bCs/>
          <w:sz w:val="20"/>
          <w:szCs w:val="20"/>
          <w:lang w:val="es-ES" w:eastAsia="es-ES"/>
        </w:rPr>
        <w:t>n</w:t>
      </w:r>
      <w:r w:rsidR="00732D03">
        <w:rPr>
          <w:rFonts w:ascii="Soberana Sans" w:eastAsia="Times New Roman" w:hAnsi="Soberana Sans" w:cs="Arial"/>
          <w:bCs/>
          <w:sz w:val="20"/>
          <w:szCs w:val="20"/>
          <w:lang w:val="es-ES" w:eastAsia="es-ES"/>
        </w:rPr>
        <w:t>………………………</w:t>
      </w:r>
      <w:r w:rsidR="00E60C16">
        <w:rPr>
          <w:rFonts w:ascii="Soberana Sans" w:eastAsia="Times New Roman" w:hAnsi="Soberana Sans" w:cs="Arial"/>
          <w:bCs/>
          <w:sz w:val="20"/>
          <w:szCs w:val="20"/>
          <w:lang w:val="es-ES" w:eastAsia="es-ES"/>
        </w:rPr>
        <w:t xml:space="preserve"> 18</w:t>
      </w:r>
    </w:p>
    <w:p w:rsidR="00A30FF0" w:rsidRPr="00732D03" w:rsidRDefault="00A30FF0" w:rsidP="00143510">
      <w:pPr>
        <w:pStyle w:val="Prrafodelista"/>
        <w:numPr>
          <w:ilvl w:val="0"/>
          <w:numId w:val="18"/>
        </w:numPr>
        <w:tabs>
          <w:tab w:val="left" w:pos="8080"/>
        </w:tabs>
        <w:spacing w:after="0" w:line="240" w:lineRule="auto"/>
        <w:rPr>
          <w:rFonts w:ascii="Soberana Sans" w:eastAsia="Times New Roman" w:hAnsi="Soberana Sans" w:cs="Arial"/>
          <w:bCs/>
          <w:sz w:val="20"/>
          <w:szCs w:val="20"/>
          <w:lang w:val="es-ES" w:eastAsia="es-ES"/>
        </w:rPr>
      </w:pPr>
      <w:r w:rsidRPr="00732D03">
        <w:rPr>
          <w:rFonts w:ascii="Soberana Sans" w:eastAsia="Times New Roman" w:hAnsi="Soberana Sans" w:cs="Arial"/>
          <w:bCs/>
          <w:sz w:val="20"/>
          <w:szCs w:val="20"/>
          <w:lang w:val="es-ES" w:eastAsia="es-ES"/>
        </w:rPr>
        <w:t>Resultado</w:t>
      </w:r>
      <w:r w:rsidR="00B84076">
        <w:rPr>
          <w:rFonts w:ascii="Soberana Sans" w:eastAsia="Times New Roman" w:hAnsi="Soberana Sans" w:cs="Arial"/>
          <w:bCs/>
          <w:sz w:val="20"/>
          <w:szCs w:val="20"/>
          <w:lang w:val="es-ES" w:eastAsia="es-ES"/>
        </w:rPr>
        <w:t>s</w:t>
      </w:r>
    </w:p>
    <w:p w:rsidR="00A30FF0" w:rsidRPr="00732D03" w:rsidRDefault="00A30FF0" w:rsidP="00143510">
      <w:pPr>
        <w:pStyle w:val="Prrafodelista"/>
        <w:numPr>
          <w:ilvl w:val="0"/>
          <w:numId w:val="18"/>
        </w:numPr>
        <w:tabs>
          <w:tab w:val="left" w:pos="8080"/>
        </w:tabs>
        <w:spacing w:after="0" w:line="240" w:lineRule="auto"/>
        <w:rPr>
          <w:rFonts w:ascii="Soberana Sans" w:eastAsia="Times New Roman" w:hAnsi="Soberana Sans" w:cs="Arial"/>
          <w:bCs/>
          <w:sz w:val="20"/>
          <w:szCs w:val="20"/>
          <w:lang w:val="es-ES" w:eastAsia="es-ES"/>
        </w:rPr>
      </w:pPr>
      <w:r w:rsidRPr="00732D03">
        <w:rPr>
          <w:rFonts w:ascii="Soberana Sans" w:eastAsia="Times New Roman" w:hAnsi="Soberana Sans" w:cs="Arial"/>
          <w:bCs/>
          <w:sz w:val="20"/>
          <w:szCs w:val="20"/>
          <w:lang w:val="es-ES" w:eastAsia="es-ES"/>
        </w:rPr>
        <w:t>Actividades relevantes</w:t>
      </w:r>
    </w:p>
    <w:p w:rsidR="00A30FF0" w:rsidRPr="00732D03" w:rsidRDefault="003455E3" w:rsidP="00143510">
      <w:pPr>
        <w:pStyle w:val="Prrafodelista"/>
        <w:numPr>
          <w:ilvl w:val="0"/>
          <w:numId w:val="18"/>
        </w:numPr>
        <w:tabs>
          <w:tab w:val="left" w:pos="8080"/>
        </w:tabs>
        <w:spacing w:after="0" w:line="240" w:lineRule="auto"/>
        <w:rPr>
          <w:rFonts w:ascii="Soberana Sans" w:eastAsia="Times New Roman" w:hAnsi="Soberana Sans" w:cs="Arial"/>
          <w:bCs/>
          <w:sz w:val="20"/>
          <w:szCs w:val="20"/>
          <w:lang w:val="es-ES" w:eastAsia="es-ES"/>
        </w:rPr>
      </w:pPr>
      <w:r>
        <w:rPr>
          <w:rFonts w:ascii="Soberana Sans" w:eastAsia="Times New Roman" w:hAnsi="Soberana Sans" w:cs="Arial"/>
          <w:bCs/>
          <w:sz w:val="20"/>
          <w:szCs w:val="20"/>
          <w:lang w:val="es-ES" w:eastAsia="es-ES"/>
        </w:rPr>
        <w:t>Avance</w:t>
      </w:r>
      <w:r w:rsidR="00A30FF0" w:rsidRPr="00732D03">
        <w:rPr>
          <w:rFonts w:ascii="Soberana Sans" w:eastAsia="Times New Roman" w:hAnsi="Soberana Sans" w:cs="Arial"/>
          <w:bCs/>
          <w:sz w:val="20"/>
          <w:szCs w:val="20"/>
          <w:lang w:val="es-ES" w:eastAsia="es-ES"/>
        </w:rPr>
        <w:t xml:space="preserve"> de los indicadores</w:t>
      </w:r>
    </w:p>
    <w:p w:rsidR="00567E16" w:rsidRDefault="00567E16" w:rsidP="00A30FF0">
      <w:pPr>
        <w:tabs>
          <w:tab w:val="left" w:pos="8080"/>
        </w:tabs>
        <w:spacing w:after="0" w:line="240" w:lineRule="auto"/>
        <w:rPr>
          <w:rFonts w:ascii="Soberana Sans" w:eastAsia="Times New Roman" w:hAnsi="Soberana Sans" w:cs="Arial"/>
          <w:bCs/>
          <w:sz w:val="20"/>
          <w:szCs w:val="20"/>
          <w:lang w:val="es-ES" w:eastAsia="es-ES"/>
        </w:rPr>
      </w:pPr>
    </w:p>
    <w:p w:rsidR="003455E3" w:rsidRDefault="003455E3" w:rsidP="00A30FF0">
      <w:pPr>
        <w:tabs>
          <w:tab w:val="left" w:pos="8080"/>
        </w:tabs>
        <w:spacing w:after="0" w:line="240" w:lineRule="auto"/>
        <w:rPr>
          <w:rFonts w:ascii="Soberana Sans" w:eastAsia="Times New Roman" w:hAnsi="Soberana Sans" w:cs="Arial"/>
          <w:bCs/>
          <w:sz w:val="20"/>
          <w:szCs w:val="20"/>
          <w:lang w:val="es-ES" w:eastAsia="es-ES"/>
        </w:rPr>
      </w:pPr>
      <w:r>
        <w:rPr>
          <w:rFonts w:ascii="Soberana Sans" w:eastAsia="Times New Roman" w:hAnsi="Soberana Sans" w:cs="Arial"/>
          <w:bCs/>
          <w:sz w:val="20"/>
          <w:szCs w:val="20"/>
          <w:lang w:val="es-ES" w:eastAsia="es-ES"/>
        </w:rPr>
        <w:t>Anexo. Fichas de los Indicadores……………………………………</w:t>
      </w:r>
      <w:r w:rsidR="00E60C16">
        <w:rPr>
          <w:rFonts w:ascii="Soberana Sans" w:eastAsia="Times New Roman" w:hAnsi="Soberana Sans" w:cs="Arial"/>
          <w:bCs/>
          <w:sz w:val="20"/>
          <w:szCs w:val="20"/>
          <w:lang w:val="es-ES" w:eastAsia="es-ES"/>
        </w:rPr>
        <w:t>…………………………………………………………………………… 21</w:t>
      </w:r>
    </w:p>
    <w:p w:rsidR="003455E3" w:rsidRDefault="003455E3" w:rsidP="00A30FF0">
      <w:pPr>
        <w:tabs>
          <w:tab w:val="left" w:pos="8080"/>
        </w:tabs>
        <w:spacing w:after="0" w:line="240" w:lineRule="auto"/>
        <w:rPr>
          <w:rFonts w:ascii="Soberana Sans" w:eastAsia="Times New Roman" w:hAnsi="Soberana Sans" w:cs="Arial"/>
          <w:bCs/>
          <w:sz w:val="20"/>
          <w:szCs w:val="20"/>
          <w:lang w:val="es-ES" w:eastAsia="es-ES"/>
        </w:rPr>
      </w:pPr>
    </w:p>
    <w:p w:rsidR="00A30FF0" w:rsidRPr="00676990" w:rsidRDefault="00A30FF0" w:rsidP="00A30FF0">
      <w:pPr>
        <w:tabs>
          <w:tab w:val="left" w:pos="8080"/>
        </w:tabs>
        <w:spacing w:after="0" w:line="240" w:lineRule="auto"/>
        <w:rPr>
          <w:rFonts w:ascii="Soberana Sans" w:eastAsia="Times New Roman" w:hAnsi="Soberana Sans" w:cs="Arial"/>
          <w:bCs/>
          <w:sz w:val="20"/>
          <w:szCs w:val="20"/>
          <w:lang w:val="es-ES" w:eastAsia="es-ES"/>
        </w:rPr>
      </w:pPr>
      <w:r w:rsidRPr="00676990">
        <w:rPr>
          <w:rFonts w:ascii="Soberana Sans" w:eastAsia="Times New Roman" w:hAnsi="Soberana Sans" w:cs="Arial"/>
          <w:bCs/>
          <w:sz w:val="20"/>
          <w:szCs w:val="20"/>
          <w:lang w:val="es-ES" w:eastAsia="es-ES"/>
        </w:rPr>
        <w:t>Glosario</w:t>
      </w:r>
      <w:r w:rsidR="00732D03">
        <w:rPr>
          <w:rFonts w:ascii="Soberana Sans" w:eastAsia="Times New Roman" w:hAnsi="Soberana Sans" w:cs="Arial"/>
          <w:bCs/>
          <w:sz w:val="20"/>
          <w:szCs w:val="20"/>
          <w:lang w:val="es-ES" w:eastAsia="es-ES"/>
        </w:rPr>
        <w:t>…………………………………………………………………………………………………………………………………………………………</w:t>
      </w:r>
      <w:r w:rsidR="00E60C16">
        <w:rPr>
          <w:rFonts w:ascii="Soberana Sans" w:eastAsia="Times New Roman" w:hAnsi="Soberana Sans" w:cs="Arial"/>
          <w:bCs/>
          <w:sz w:val="20"/>
          <w:szCs w:val="20"/>
          <w:lang w:val="es-ES" w:eastAsia="es-ES"/>
        </w:rPr>
        <w:t>.... 28</w:t>
      </w:r>
    </w:p>
    <w:p w:rsidR="00A30FF0" w:rsidRPr="007B7C6A" w:rsidRDefault="00A30FF0" w:rsidP="00A30FF0">
      <w:pPr>
        <w:pStyle w:val="Cuerpodeltexto"/>
        <w:spacing w:line="360" w:lineRule="auto"/>
      </w:pPr>
      <w:r w:rsidRPr="00676990">
        <w:rPr>
          <w:rFonts w:ascii="Soberana Sans" w:eastAsia="Times New Roman" w:hAnsi="Soberana Sans" w:cs="Arial"/>
          <w:bCs/>
          <w:sz w:val="20"/>
          <w:szCs w:val="20"/>
          <w:lang w:val="es-ES" w:eastAsia="es-ES"/>
        </w:rPr>
        <w:t>Siglas y abreviaturas</w:t>
      </w:r>
      <w:r w:rsidR="00732D03">
        <w:rPr>
          <w:rFonts w:ascii="Soberana Sans" w:eastAsia="Times New Roman" w:hAnsi="Soberana Sans" w:cs="Arial"/>
          <w:bCs/>
          <w:sz w:val="20"/>
          <w:szCs w:val="20"/>
          <w:lang w:val="es-ES" w:eastAsia="es-ES"/>
        </w:rPr>
        <w:t>………………………………………………………………………………………………………………………………………</w:t>
      </w:r>
      <w:r w:rsidR="00E60C16">
        <w:rPr>
          <w:rFonts w:ascii="Soberana Sans" w:eastAsia="Times New Roman" w:hAnsi="Soberana Sans" w:cs="Arial"/>
          <w:bCs/>
          <w:sz w:val="20"/>
          <w:szCs w:val="20"/>
          <w:lang w:val="es-ES" w:eastAsia="es-ES"/>
        </w:rPr>
        <w:t xml:space="preserve"> 29</w:t>
      </w:r>
    </w:p>
    <w:p w:rsidR="00A30FF0" w:rsidRDefault="00A30FF0" w:rsidP="00A30FF0">
      <w:pPr>
        <w:pStyle w:val="TITULO1APARTADO"/>
      </w:pPr>
      <w:r>
        <w:lastRenderedPageBreak/>
        <w:t>marco normativo</w:t>
      </w:r>
    </w:p>
    <w:p w:rsidR="00A30FF0" w:rsidRDefault="00A30FF0" w:rsidP="00A30FF0">
      <w:pPr>
        <w:pStyle w:val="Cuerpodeltexto"/>
      </w:pPr>
    </w:p>
    <w:p w:rsidR="00A30FF0" w:rsidRDefault="00A30FF0" w:rsidP="00A30FF0">
      <w:pPr>
        <w:pStyle w:val="Cuerpodeltexto"/>
      </w:pPr>
      <w:r w:rsidRPr="002759F1">
        <w:t xml:space="preserve">Este documento se presenta con fundamento en lo establecido en el numeral </w:t>
      </w:r>
      <w:r w:rsidRPr="00732F3E">
        <w:t>32 del Acuerdo 01/2013 por el que se emiten los Lineamientos para dictaminar y dar seguimiento a los programas derivados del Plan Nacional</w:t>
      </w:r>
      <w:r w:rsidRPr="002759F1">
        <w:t xml:space="preserve"> de Desarrollo 2013-2018 publicado en el Diario Oficial de la Federación del 10 de juni</w:t>
      </w:r>
      <w:r>
        <w:t>o de 2013, el cual enuncia que:</w:t>
      </w:r>
    </w:p>
    <w:p w:rsidR="00A30FF0" w:rsidRDefault="00A30FF0" w:rsidP="00A30FF0">
      <w:pPr>
        <w:pStyle w:val="Cuerpodeltexto"/>
      </w:pPr>
      <w:r w:rsidRPr="002759F1">
        <w:t>“</w:t>
      </w:r>
      <w:r w:rsidRPr="007C5D78">
        <w:rPr>
          <w:i/>
        </w:rPr>
        <w:t>Las dependencias y entidades deberán difundir y publicar en sus páginas de Internet, los programas a su cargo, al día siguiente de su publicación en el Diario Oficial de la Federación. Asimismo, deberán publicar dentro del primer bimestre de cada año, en el mismo medio electrónico, los logros obtenidos de conformidad con los objetivos, indicadores y metas definidos en los programas</w:t>
      </w:r>
      <w:r>
        <w:t>”.</w:t>
      </w:r>
    </w:p>
    <w:p w:rsidR="00A30FF0" w:rsidRDefault="00A30FF0" w:rsidP="00A30FF0">
      <w:pPr>
        <w:spacing w:after="0" w:line="240" w:lineRule="auto"/>
      </w:pPr>
    </w:p>
    <w:p w:rsidR="00A30FF0" w:rsidRDefault="00A30FF0" w:rsidP="00A30FF0">
      <w:pPr>
        <w:spacing w:after="0" w:line="240" w:lineRule="auto"/>
        <w:sectPr w:rsidR="00A30FF0" w:rsidSect="00732F3E">
          <w:headerReference w:type="even" r:id="rId8"/>
          <w:headerReference w:type="default" r:id="rId9"/>
          <w:footerReference w:type="even" r:id="rId10"/>
          <w:footerReference w:type="default" r:id="rId11"/>
          <w:pgSz w:w="12240" w:h="15840" w:code="1"/>
          <w:pgMar w:top="2268" w:right="1418" w:bottom="1134" w:left="1418" w:header="0" w:footer="567" w:gutter="0"/>
          <w:cols w:space="454"/>
          <w:docGrid w:linePitch="360"/>
        </w:sectPr>
      </w:pPr>
    </w:p>
    <w:p w:rsidR="00A30FF0" w:rsidRDefault="00A30FF0" w:rsidP="00A30FF0">
      <w:pPr>
        <w:spacing w:after="0" w:line="240" w:lineRule="auto"/>
        <w:sectPr w:rsidR="00A30FF0" w:rsidSect="00DE369C">
          <w:pgSz w:w="12240" w:h="15840" w:code="1"/>
          <w:pgMar w:top="2268" w:right="1418" w:bottom="1134" w:left="1418" w:header="0" w:footer="567" w:gutter="0"/>
          <w:cols w:space="454"/>
          <w:docGrid w:linePitch="360"/>
        </w:sectPr>
      </w:pPr>
    </w:p>
    <w:p w:rsidR="00A30FF0" w:rsidRPr="00363826" w:rsidRDefault="00A30FF0" w:rsidP="00A30FF0">
      <w:pPr>
        <w:pStyle w:val="TITULO1APARTADO"/>
      </w:pPr>
      <w:r w:rsidRPr="00363826">
        <w:t>resumen ejecutivo</w:t>
      </w:r>
    </w:p>
    <w:p w:rsidR="00A30FF0" w:rsidRDefault="00A30FF0" w:rsidP="009A0439">
      <w:pPr>
        <w:spacing w:before="120" w:after="120" w:line="220" w:lineRule="exact"/>
        <w:rPr>
          <w:szCs w:val="17"/>
          <w:lang w:eastAsia="es-MX"/>
        </w:rPr>
      </w:pPr>
    </w:p>
    <w:p w:rsidR="00A30FF0" w:rsidRDefault="00A30FF0" w:rsidP="009A0439">
      <w:pPr>
        <w:spacing w:before="120" w:after="120" w:line="220" w:lineRule="exact"/>
        <w:rPr>
          <w:szCs w:val="17"/>
          <w:lang w:eastAsia="es-MX"/>
        </w:rPr>
      </w:pPr>
      <w:r>
        <w:rPr>
          <w:szCs w:val="17"/>
          <w:lang w:eastAsia="es-MX"/>
        </w:rPr>
        <w:t xml:space="preserve">Al término del ejercicio 2017, los resultados en la implementación de </w:t>
      </w:r>
      <w:r w:rsidRPr="00676990">
        <w:rPr>
          <w:szCs w:val="17"/>
          <w:lang w:eastAsia="es-MX"/>
        </w:rPr>
        <w:t xml:space="preserve">las estrategias y líneas de </w:t>
      </w:r>
      <w:r>
        <w:rPr>
          <w:szCs w:val="17"/>
          <w:lang w:eastAsia="es-MX"/>
        </w:rPr>
        <w:t>acción d</w:t>
      </w:r>
      <w:r w:rsidRPr="006E301A">
        <w:rPr>
          <w:szCs w:val="17"/>
          <w:lang w:eastAsia="es-MX"/>
        </w:rPr>
        <w:t>el Programa Institucional 2013-2018 (PI 2013-2018)</w:t>
      </w:r>
      <w:r>
        <w:rPr>
          <w:szCs w:val="17"/>
          <w:lang w:eastAsia="es-MX"/>
        </w:rPr>
        <w:t xml:space="preserve"> </w:t>
      </w:r>
      <w:r w:rsidRPr="006E301A">
        <w:rPr>
          <w:szCs w:val="17"/>
          <w:lang w:eastAsia="es-MX"/>
        </w:rPr>
        <w:t>de la Financiera Nacional de Desarrollo Agropecuario, Rural, Forestal y Pesquero</w:t>
      </w:r>
      <w:r>
        <w:rPr>
          <w:szCs w:val="17"/>
          <w:lang w:eastAsia="es-MX"/>
        </w:rPr>
        <w:t xml:space="preserve"> (FND)</w:t>
      </w:r>
      <w:r w:rsidRPr="006E301A">
        <w:rPr>
          <w:szCs w:val="17"/>
          <w:lang w:eastAsia="es-MX"/>
        </w:rPr>
        <w:t xml:space="preserve"> </w:t>
      </w:r>
      <w:r>
        <w:rPr>
          <w:szCs w:val="17"/>
          <w:lang w:eastAsia="es-MX"/>
        </w:rPr>
        <w:t xml:space="preserve">permiten </w:t>
      </w:r>
      <w:r w:rsidRPr="000F1D01">
        <w:rPr>
          <w:szCs w:val="17"/>
          <w:lang w:eastAsia="es-MX"/>
        </w:rPr>
        <w:t>prever el cumplimiento de las metas programadas para el término de la actual administración.</w:t>
      </w:r>
    </w:p>
    <w:p w:rsidR="009A0439" w:rsidRDefault="009A0439" w:rsidP="009A0439">
      <w:pPr>
        <w:spacing w:before="120" w:after="120" w:line="220" w:lineRule="exact"/>
        <w:rPr>
          <w:szCs w:val="17"/>
          <w:lang w:eastAsia="es-MX"/>
        </w:rPr>
      </w:pPr>
    </w:p>
    <w:p w:rsidR="00A30FF0" w:rsidRDefault="00A30FF0" w:rsidP="009A0439">
      <w:pPr>
        <w:spacing w:before="120" w:after="120" w:line="220" w:lineRule="exact"/>
        <w:rPr>
          <w:szCs w:val="17"/>
          <w:lang w:eastAsia="es-MX"/>
        </w:rPr>
      </w:pPr>
      <w:r>
        <w:rPr>
          <w:szCs w:val="17"/>
          <w:lang w:eastAsia="es-MX"/>
        </w:rPr>
        <w:t>Alineados a las directrices de</w:t>
      </w:r>
      <w:r w:rsidRPr="00BE28BD">
        <w:rPr>
          <w:color w:val="FF0000"/>
          <w:szCs w:val="17"/>
          <w:lang w:eastAsia="es-MX"/>
        </w:rPr>
        <w:t xml:space="preserve"> </w:t>
      </w:r>
      <w:r>
        <w:rPr>
          <w:szCs w:val="17"/>
          <w:lang w:eastAsia="es-MX"/>
        </w:rPr>
        <w:t xml:space="preserve">Política Pública trazadas </w:t>
      </w:r>
      <w:r w:rsidRPr="00A965BB">
        <w:rPr>
          <w:szCs w:val="17"/>
          <w:lang w:eastAsia="es-MX"/>
        </w:rPr>
        <w:t>en el Plan Nacional de Desarrollo 2013-2018</w:t>
      </w:r>
      <w:r w:rsidR="0055448F">
        <w:rPr>
          <w:szCs w:val="17"/>
          <w:lang w:eastAsia="es-MX"/>
        </w:rPr>
        <w:t xml:space="preserve"> (PND)</w:t>
      </w:r>
      <w:r w:rsidRPr="00A965BB">
        <w:rPr>
          <w:szCs w:val="17"/>
          <w:lang w:eastAsia="es-MX"/>
        </w:rPr>
        <w:t>, en la Reforma Financiera de 2014, en el Programa Nacional de Financiamiento de Desarrollo 2013-2018</w:t>
      </w:r>
      <w:r w:rsidR="0055448F">
        <w:rPr>
          <w:szCs w:val="17"/>
          <w:lang w:eastAsia="es-MX"/>
        </w:rPr>
        <w:t xml:space="preserve"> (PRONAFIDE)</w:t>
      </w:r>
      <w:r w:rsidRPr="00A965BB">
        <w:rPr>
          <w:szCs w:val="17"/>
          <w:lang w:eastAsia="es-MX"/>
        </w:rPr>
        <w:t xml:space="preserve"> y el Programa Sectorial de Desarrollo Agropecuario, Pesquero y Alimentario 2013-2018; la </w:t>
      </w:r>
      <w:r>
        <w:rPr>
          <w:szCs w:val="17"/>
          <w:lang w:eastAsia="es-MX"/>
        </w:rPr>
        <w:t>Institución</w:t>
      </w:r>
      <w:r w:rsidRPr="00A965BB">
        <w:rPr>
          <w:szCs w:val="17"/>
          <w:lang w:eastAsia="es-MX"/>
        </w:rPr>
        <w:t xml:space="preserve"> continuó con su Política de Financiamiento, integrando crédito, fomento y promoción de negocios.</w:t>
      </w:r>
    </w:p>
    <w:p w:rsidR="009A0439" w:rsidRPr="00A965BB" w:rsidRDefault="009A0439" w:rsidP="009A0439">
      <w:pPr>
        <w:spacing w:before="120" w:after="120" w:line="220" w:lineRule="exact"/>
        <w:rPr>
          <w:szCs w:val="17"/>
          <w:lang w:eastAsia="es-MX"/>
        </w:rPr>
      </w:pPr>
    </w:p>
    <w:p w:rsidR="00A30FF0" w:rsidRDefault="00A30FF0" w:rsidP="009A0439">
      <w:pPr>
        <w:spacing w:before="120" w:after="120" w:line="220" w:lineRule="exact"/>
        <w:rPr>
          <w:szCs w:val="17"/>
          <w:lang w:eastAsia="es-MX"/>
        </w:rPr>
      </w:pPr>
      <w:r w:rsidRPr="00A965BB">
        <w:rPr>
          <w:szCs w:val="17"/>
          <w:lang w:eastAsia="es-MX"/>
        </w:rPr>
        <w:t>La política ha propiciado la inclusión financiera, colocando más crédito, ampliando la cobertura, haciéndolo accesible y con tasas de interés competitivas. De esta manera se establecieron prioridades sectoriales de atención,</w:t>
      </w:r>
      <w:r>
        <w:rPr>
          <w:szCs w:val="17"/>
          <w:lang w:eastAsia="es-MX"/>
        </w:rPr>
        <w:t xml:space="preserve"> lo que permitió </w:t>
      </w:r>
      <w:r w:rsidRPr="00A965BB">
        <w:rPr>
          <w:szCs w:val="17"/>
          <w:lang w:eastAsia="es-MX"/>
        </w:rPr>
        <w:t xml:space="preserve">una mayor cobertura en sectores y actividades poco atendidas, facilitando el acceso y mejorando las condiciones del crédito, en el marco de la sustentabilidad </w:t>
      </w:r>
      <w:r>
        <w:rPr>
          <w:szCs w:val="17"/>
          <w:lang w:eastAsia="es-MX"/>
        </w:rPr>
        <w:t>i</w:t>
      </w:r>
      <w:r w:rsidRPr="00A965BB">
        <w:rPr>
          <w:szCs w:val="17"/>
          <w:lang w:eastAsia="es-MX"/>
        </w:rPr>
        <w:t>nstitucional.</w:t>
      </w:r>
    </w:p>
    <w:p w:rsidR="009A0439" w:rsidRDefault="009A0439" w:rsidP="009A0439">
      <w:pPr>
        <w:spacing w:before="120" w:after="120" w:line="220" w:lineRule="exact"/>
        <w:rPr>
          <w:szCs w:val="17"/>
          <w:lang w:eastAsia="es-MX"/>
        </w:rPr>
      </w:pPr>
    </w:p>
    <w:p w:rsidR="00A30FF0" w:rsidRDefault="00A30FF0" w:rsidP="009A0439">
      <w:pPr>
        <w:spacing w:before="120" w:after="120" w:line="220" w:lineRule="exact"/>
        <w:rPr>
          <w:szCs w:val="17"/>
          <w:lang w:eastAsia="es-MX"/>
        </w:rPr>
      </w:pPr>
      <w:r w:rsidRPr="00A965BB">
        <w:rPr>
          <w:szCs w:val="17"/>
          <w:lang w:eastAsia="es-MX"/>
        </w:rPr>
        <w:t xml:space="preserve">Esto se alcanzó mediante un diseño </w:t>
      </w:r>
      <w:r>
        <w:rPr>
          <w:szCs w:val="17"/>
          <w:lang w:eastAsia="es-MX"/>
        </w:rPr>
        <w:t xml:space="preserve">institucional </w:t>
      </w:r>
      <w:r w:rsidRPr="00A965BB">
        <w:rPr>
          <w:szCs w:val="17"/>
          <w:lang w:eastAsia="es-MX"/>
        </w:rPr>
        <w:t xml:space="preserve">que </w:t>
      </w:r>
      <w:r>
        <w:rPr>
          <w:szCs w:val="17"/>
          <w:lang w:eastAsia="es-MX"/>
        </w:rPr>
        <w:t>consideró</w:t>
      </w:r>
      <w:r w:rsidRPr="00A965BB">
        <w:rPr>
          <w:szCs w:val="17"/>
          <w:lang w:eastAsia="es-MX"/>
        </w:rPr>
        <w:t>:</w:t>
      </w:r>
    </w:p>
    <w:p w:rsidR="009A0439" w:rsidRPr="00A965BB" w:rsidRDefault="009A0439" w:rsidP="009A0439">
      <w:pPr>
        <w:spacing w:before="120" w:after="120" w:line="220" w:lineRule="exact"/>
        <w:rPr>
          <w:szCs w:val="17"/>
          <w:lang w:eastAsia="es-MX"/>
        </w:rPr>
      </w:pPr>
    </w:p>
    <w:p w:rsidR="00A30FF0" w:rsidRDefault="00A30FF0" w:rsidP="009A0439">
      <w:pPr>
        <w:spacing w:before="120" w:after="120" w:line="220" w:lineRule="exact"/>
        <w:rPr>
          <w:szCs w:val="17"/>
          <w:lang w:eastAsia="es-MX"/>
        </w:rPr>
      </w:pPr>
      <w:r w:rsidRPr="00A965BB">
        <w:rPr>
          <w:szCs w:val="17"/>
          <w:lang w:eastAsia="es-MX"/>
        </w:rPr>
        <w:t xml:space="preserve">Programas de Financiamiento: </w:t>
      </w:r>
      <w:r>
        <w:rPr>
          <w:szCs w:val="17"/>
          <w:lang w:eastAsia="es-MX"/>
        </w:rPr>
        <w:t xml:space="preserve">Orientados a </w:t>
      </w:r>
      <w:r w:rsidRPr="00A965BB">
        <w:rPr>
          <w:szCs w:val="17"/>
          <w:lang w:eastAsia="es-MX"/>
        </w:rPr>
        <w:t xml:space="preserve">mercados objetivo específicos, proyectos elegibles, definiendo una normatividad crediticia particular destinada a atender las prioridades de </w:t>
      </w:r>
      <w:r>
        <w:rPr>
          <w:szCs w:val="17"/>
          <w:lang w:eastAsia="es-MX"/>
        </w:rPr>
        <w:t>la</w:t>
      </w:r>
      <w:r w:rsidRPr="00A965BB">
        <w:rPr>
          <w:szCs w:val="17"/>
          <w:lang w:eastAsia="es-MX"/>
        </w:rPr>
        <w:t xml:space="preserve"> población objetivo.</w:t>
      </w:r>
    </w:p>
    <w:p w:rsidR="009A0439" w:rsidRPr="00A965BB" w:rsidRDefault="009A0439" w:rsidP="009A0439">
      <w:pPr>
        <w:spacing w:before="120" w:after="120" w:line="220" w:lineRule="exact"/>
        <w:rPr>
          <w:szCs w:val="17"/>
          <w:lang w:eastAsia="es-MX"/>
        </w:rPr>
      </w:pPr>
    </w:p>
    <w:p w:rsidR="00A30FF0" w:rsidRDefault="00A30FF0" w:rsidP="009A0439">
      <w:pPr>
        <w:spacing w:before="120" w:after="120" w:line="220" w:lineRule="exact"/>
        <w:rPr>
          <w:szCs w:val="17"/>
          <w:lang w:eastAsia="es-MX"/>
        </w:rPr>
      </w:pPr>
      <w:r w:rsidRPr="00A965BB">
        <w:rPr>
          <w:szCs w:val="17"/>
          <w:lang w:eastAsia="es-MX"/>
        </w:rPr>
        <w:t xml:space="preserve">Políticas Específicas para la Asignación de Tasas de Interés: A fin de mantener la </w:t>
      </w:r>
      <w:r>
        <w:rPr>
          <w:szCs w:val="17"/>
          <w:lang w:eastAsia="es-MX"/>
        </w:rPr>
        <w:t xml:space="preserve">sustentabilidad </w:t>
      </w:r>
      <w:r w:rsidRPr="00A965BB">
        <w:rPr>
          <w:szCs w:val="17"/>
          <w:lang w:eastAsia="es-MX"/>
        </w:rPr>
        <w:t xml:space="preserve">de la </w:t>
      </w:r>
      <w:r>
        <w:rPr>
          <w:lang w:eastAsia="es-MX"/>
        </w:rPr>
        <w:t>FND</w:t>
      </w:r>
      <w:r w:rsidRPr="00BE071D">
        <w:rPr>
          <w:lang w:eastAsia="es-MX"/>
        </w:rPr>
        <w:t xml:space="preserve"> </w:t>
      </w:r>
      <w:r w:rsidRPr="00A965BB">
        <w:rPr>
          <w:szCs w:val="17"/>
          <w:lang w:eastAsia="es-MX"/>
        </w:rPr>
        <w:t>y seguir promoviendo la inclusión financiera</w:t>
      </w:r>
      <w:r>
        <w:rPr>
          <w:szCs w:val="17"/>
          <w:lang w:eastAsia="es-MX"/>
        </w:rPr>
        <w:t>,</w:t>
      </w:r>
      <w:r w:rsidRPr="00A965BB">
        <w:rPr>
          <w:szCs w:val="17"/>
          <w:lang w:eastAsia="es-MX"/>
        </w:rPr>
        <w:t xml:space="preserve"> se </w:t>
      </w:r>
      <w:r>
        <w:rPr>
          <w:szCs w:val="17"/>
          <w:lang w:eastAsia="es-MX"/>
        </w:rPr>
        <w:t xml:space="preserve">revisaron y </w:t>
      </w:r>
      <w:r w:rsidRPr="00A965BB">
        <w:rPr>
          <w:szCs w:val="17"/>
          <w:lang w:eastAsia="es-MX"/>
        </w:rPr>
        <w:t>realizaron modificaciones a las Políticas</w:t>
      </w:r>
      <w:r>
        <w:rPr>
          <w:szCs w:val="17"/>
          <w:lang w:eastAsia="es-MX"/>
        </w:rPr>
        <w:t>.</w:t>
      </w:r>
      <w:r w:rsidRPr="00A965BB">
        <w:rPr>
          <w:szCs w:val="17"/>
          <w:lang w:eastAsia="es-MX"/>
        </w:rPr>
        <w:t xml:space="preserve"> </w:t>
      </w:r>
      <w:r w:rsidR="0055448F">
        <w:rPr>
          <w:szCs w:val="17"/>
          <w:lang w:eastAsia="es-MX"/>
        </w:rPr>
        <w:t xml:space="preserve">Es importante </w:t>
      </w:r>
      <w:r w:rsidRPr="00A965BB">
        <w:rPr>
          <w:szCs w:val="17"/>
          <w:lang w:eastAsia="es-MX"/>
        </w:rPr>
        <w:t xml:space="preserve">destacar que, se mantienen tasas de interés </w:t>
      </w:r>
      <w:r>
        <w:rPr>
          <w:szCs w:val="17"/>
          <w:lang w:eastAsia="es-MX"/>
        </w:rPr>
        <w:t>para</w:t>
      </w:r>
      <w:r w:rsidRPr="00A965BB">
        <w:rPr>
          <w:szCs w:val="17"/>
          <w:lang w:eastAsia="es-MX"/>
        </w:rPr>
        <w:t xml:space="preserve"> los </w:t>
      </w:r>
      <w:r>
        <w:rPr>
          <w:szCs w:val="17"/>
          <w:lang w:eastAsia="es-MX"/>
        </w:rPr>
        <w:t>p</w:t>
      </w:r>
      <w:r w:rsidRPr="00A965BB">
        <w:rPr>
          <w:szCs w:val="17"/>
          <w:lang w:eastAsia="es-MX"/>
        </w:rPr>
        <w:t xml:space="preserve">equeños </w:t>
      </w:r>
      <w:r>
        <w:rPr>
          <w:szCs w:val="17"/>
          <w:lang w:eastAsia="es-MX"/>
        </w:rPr>
        <w:t>p</w:t>
      </w:r>
      <w:r w:rsidRPr="00A965BB">
        <w:rPr>
          <w:szCs w:val="17"/>
          <w:lang w:eastAsia="es-MX"/>
        </w:rPr>
        <w:t>roductores, así como a los sectores definidos como prioritarios.</w:t>
      </w:r>
    </w:p>
    <w:p w:rsidR="009A0439" w:rsidRPr="00A965BB" w:rsidRDefault="009A0439" w:rsidP="009A0439">
      <w:pPr>
        <w:spacing w:before="120" w:after="120" w:line="220" w:lineRule="exact"/>
        <w:rPr>
          <w:szCs w:val="17"/>
          <w:lang w:eastAsia="es-MX"/>
        </w:rPr>
      </w:pPr>
    </w:p>
    <w:p w:rsidR="00A30FF0" w:rsidRDefault="00A30FF0" w:rsidP="009A0439">
      <w:pPr>
        <w:spacing w:before="120" w:after="120" w:line="220" w:lineRule="exact"/>
        <w:rPr>
          <w:szCs w:val="17"/>
          <w:lang w:eastAsia="es-MX"/>
        </w:rPr>
      </w:pPr>
      <w:r w:rsidRPr="00A965BB">
        <w:rPr>
          <w:szCs w:val="17"/>
          <w:lang w:eastAsia="es-MX"/>
        </w:rPr>
        <w:t>Instrumentos de Apoyo: Provenientes del presupuesto institucional y de recursos derivados de la concertación interinstitucional que facilitaron el acceso al crédito, permitiendo la administración de riesgos y ar</w:t>
      </w:r>
      <w:r>
        <w:rPr>
          <w:szCs w:val="17"/>
          <w:lang w:eastAsia="es-MX"/>
        </w:rPr>
        <w:t>ticulando el crédito con apoyos.</w:t>
      </w:r>
    </w:p>
    <w:p w:rsidR="009A0439" w:rsidRPr="00A965BB" w:rsidRDefault="009A0439" w:rsidP="009A0439">
      <w:pPr>
        <w:spacing w:before="120" w:after="120" w:line="220" w:lineRule="exact"/>
        <w:rPr>
          <w:szCs w:val="17"/>
          <w:lang w:eastAsia="es-MX"/>
        </w:rPr>
      </w:pPr>
    </w:p>
    <w:p w:rsidR="00A30FF0" w:rsidRDefault="00A30FF0" w:rsidP="009A0439">
      <w:pPr>
        <w:pStyle w:val="Cuerpodeltexto"/>
        <w:rPr>
          <w:rFonts w:cs="Times New Roman"/>
          <w:lang w:val="es-MX" w:eastAsia="es-MX"/>
        </w:rPr>
      </w:pPr>
      <w:r>
        <w:rPr>
          <w:rFonts w:cs="Times New Roman"/>
          <w:lang w:val="es-MX" w:eastAsia="es-MX"/>
        </w:rPr>
        <w:t>Adicionalmente, se instrumentaron acciones que</w:t>
      </w:r>
      <w:r w:rsidRPr="00B84E24">
        <w:rPr>
          <w:rFonts w:cs="Times New Roman"/>
          <w:lang w:val="es-MX" w:eastAsia="es-MX"/>
        </w:rPr>
        <w:t xml:space="preserve"> consideraron la automatización y simplificación de los procesos de contratación, dispersión y supervisión, mismos que se traducen en </w:t>
      </w:r>
      <w:r>
        <w:rPr>
          <w:rFonts w:cs="Times New Roman"/>
          <w:lang w:val="es-MX" w:eastAsia="es-MX"/>
        </w:rPr>
        <w:t xml:space="preserve">la </w:t>
      </w:r>
      <w:r w:rsidRPr="00B84E24">
        <w:rPr>
          <w:rFonts w:cs="Times New Roman"/>
          <w:lang w:val="es-MX" w:eastAsia="es-MX"/>
        </w:rPr>
        <w:t>mejora a los tiempos de respuesta al cliente.</w:t>
      </w:r>
    </w:p>
    <w:p w:rsidR="009A0439" w:rsidRDefault="009A0439" w:rsidP="009A0439">
      <w:pPr>
        <w:pStyle w:val="Cuerpodeltexto"/>
        <w:rPr>
          <w:rFonts w:cs="Times New Roman"/>
          <w:lang w:val="es-MX" w:eastAsia="es-MX"/>
        </w:rPr>
      </w:pPr>
    </w:p>
    <w:p w:rsidR="00A30FF0" w:rsidRDefault="00A30FF0" w:rsidP="009A0439">
      <w:pPr>
        <w:pStyle w:val="Cuerpodeltexto"/>
        <w:rPr>
          <w:rFonts w:cs="Times New Roman"/>
          <w:lang w:val="es-MX" w:eastAsia="es-MX"/>
        </w:rPr>
      </w:pPr>
      <w:r>
        <w:rPr>
          <w:rFonts w:cs="Times New Roman"/>
          <w:lang w:val="es-MX" w:eastAsia="es-MX"/>
        </w:rPr>
        <w:t xml:space="preserve">Es importante mencionar que se continúa operando el </w:t>
      </w:r>
      <w:r w:rsidRPr="00747984">
        <w:rPr>
          <w:rFonts w:cs="Times New Roman"/>
          <w:lang w:val="es-MX" w:eastAsia="es-MX"/>
        </w:rPr>
        <w:t xml:space="preserve">Programa de Financiamiento </w:t>
      </w:r>
      <w:r>
        <w:rPr>
          <w:rFonts w:cs="Times New Roman"/>
          <w:lang w:val="es-MX" w:eastAsia="es-MX"/>
        </w:rPr>
        <w:t>para Pequeños Productores manteniendo las</w:t>
      </w:r>
      <w:r w:rsidRPr="00747984">
        <w:rPr>
          <w:rFonts w:cs="Times New Roman"/>
          <w:lang w:val="es-MX" w:eastAsia="es-MX"/>
        </w:rPr>
        <w:t xml:space="preserve"> condiciones preferenciales de financiamiento en cuanto a tasa de interés, garantías y requisitos.</w:t>
      </w:r>
    </w:p>
    <w:p w:rsidR="009A0439" w:rsidRDefault="009A0439" w:rsidP="009A0439">
      <w:pPr>
        <w:pStyle w:val="Cuerpodeltexto"/>
        <w:rPr>
          <w:rFonts w:cs="Times New Roman"/>
          <w:lang w:val="es-MX" w:eastAsia="es-MX"/>
        </w:rPr>
      </w:pPr>
    </w:p>
    <w:p w:rsidR="00A30FF0" w:rsidRDefault="00A30FF0" w:rsidP="009A0439">
      <w:pPr>
        <w:pStyle w:val="Cuerpodeltexto"/>
        <w:rPr>
          <w:rFonts w:cs="Times New Roman"/>
          <w:lang w:val="es-MX" w:eastAsia="es-MX"/>
        </w:rPr>
      </w:pPr>
      <w:r>
        <w:rPr>
          <w:rFonts w:cs="Times New Roman"/>
          <w:lang w:val="es-MX" w:eastAsia="es-MX"/>
        </w:rPr>
        <w:t>Con estas acciones</w:t>
      </w:r>
      <w:r w:rsidRPr="00B84E24">
        <w:rPr>
          <w:rFonts w:cs="Times New Roman"/>
          <w:lang w:val="es-MX" w:eastAsia="es-MX"/>
        </w:rPr>
        <w:t>, la FND contribuye con la política pública, dirigiendo su accionar y focalizando las mejores condiciones de crédito en los sectores del medio rural que lo necesitan.</w:t>
      </w:r>
    </w:p>
    <w:p w:rsidR="009A0439" w:rsidRDefault="009A0439" w:rsidP="009A0439">
      <w:pPr>
        <w:pStyle w:val="Cuerpodeltexto"/>
        <w:rPr>
          <w:rFonts w:cs="Times New Roman"/>
          <w:lang w:val="es-MX" w:eastAsia="es-MX"/>
        </w:rPr>
      </w:pPr>
    </w:p>
    <w:p w:rsidR="00A30FF0" w:rsidRDefault="00A30FF0" w:rsidP="009A0439">
      <w:pPr>
        <w:pStyle w:val="Cuerpodeltexto"/>
        <w:rPr>
          <w:lang w:val="es-MX"/>
        </w:rPr>
      </w:pPr>
      <w:r>
        <w:rPr>
          <w:lang w:val="es-MX"/>
        </w:rPr>
        <w:t xml:space="preserve">El avance en el cumplimiento de las estrategias y líneas de acción del PI 2013-2018 han permitido a la Institución registrar al cierre de 2017 los siguientes resultados en su operación: </w:t>
      </w:r>
    </w:p>
    <w:p w:rsidR="009A0439" w:rsidRDefault="009A0439" w:rsidP="009A0439">
      <w:pPr>
        <w:pStyle w:val="Cuerpodeltexto"/>
        <w:rPr>
          <w:lang w:val="es-MX"/>
        </w:rPr>
      </w:pPr>
    </w:p>
    <w:p w:rsidR="00A30FF0" w:rsidRDefault="00A30FF0" w:rsidP="009A0439">
      <w:pPr>
        <w:pStyle w:val="Cuerpodeltexto"/>
        <w:numPr>
          <w:ilvl w:val="0"/>
          <w:numId w:val="10"/>
        </w:numPr>
        <w:ind w:left="426" w:firstLine="0"/>
      </w:pPr>
      <w:r w:rsidRPr="00235A40">
        <w:t>En 2017 se otorgaron créditos por 70,302 millones de pesos</w:t>
      </w:r>
      <w:r>
        <w:t xml:space="preserve"> (mdp)</w:t>
      </w:r>
      <w:r w:rsidRPr="00235A40">
        <w:t>, lo cual representó un incremento real de 4.6%</w:t>
      </w:r>
      <w:r w:rsidR="00BD4351">
        <w:rPr>
          <w:rStyle w:val="Refdenotaalpie"/>
        </w:rPr>
        <w:footnoteReference w:id="1"/>
      </w:r>
      <w:r w:rsidR="00BD4351" w:rsidRPr="00235A40">
        <w:t xml:space="preserve"> </w:t>
      </w:r>
      <w:r w:rsidRPr="00235A40">
        <w:t xml:space="preserve"> respecto de la colocación crediticia del mismo periodo de 2016, en beneficio de 551,298 productores rurales del país, distribuidos en </w:t>
      </w:r>
      <w:r>
        <w:t>todo el territorio nacional.</w:t>
      </w:r>
    </w:p>
    <w:p w:rsidR="009A0439" w:rsidRPr="00235A40" w:rsidRDefault="009A0439" w:rsidP="009A0439">
      <w:pPr>
        <w:pStyle w:val="Cuerpodeltexto"/>
        <w:ind w:left="426"/>
      </w:pPr>
    </w:p>
    <w:p w:rsidR="00A30FF0" w:rsidRPr="009A0439" w:rsidRDefault="00A30FF0" w:rsidP="009A0439">
      <w:pPr>
        <w:pStyle w:val="Cuerpodeltexto"/>
        <w:numPr>
          <w:ilvl w:val="0"/>
          <w:numId w:val="10"/>
        </w:numPr>
        <w:ind w:left="426" w:firstLine="0"/>
        <w:rPr>
          <w:rFonts w:cs="Times New Roman"/>
          <w:lang w:val="es-MX" w:eastAsia="es-MX"/>
        </w:rPr>
      </w:pPr>
      <w:r w:rsidRPr="000F1FA0">
        <w:t>FND fortaleció su operación a través de empresas de intermediación financiera, en 2017 el 41.7% de la colocación total se canalizó a través de este tipo de operaciones</w:t>
      </w:r>
      <w:r>
        <w:t>.</w:t>
      </w:r>
    </w:p>
    <w:p w:rsidR="009A0439" w:rsidRPr="00235A40" w:rsidRDefault="009A0439" w:rsidP="009A0439">
      <w:pPr>
        <w:pStyle w:val="Cuerpodeltexto"/>
        <w:rPr>
          <w:rFonts w:cs="Times New Roman"/>
          <w:lang w:val="es-MX" w:eastAsia="es-MX"/>
        </w:rPr>
      </w:pPr>
    </w:p>
    <w:p w:rsidR="00A30FF0" w:rsidRPr="009A0439" w:rsidRDefault="00A30FF0" w:rsidP="009A0439">
      <w:pPr>
        <w:pStyle w:val="Cuerpodeltexto"/>
        <w:numPr>
          <w:ilvl w:val="0"/>
          <w:numId w:val="10"/>
        </w:numPr>
        <w:ind w:left="426" w:firstLine="0"/>
        <w:rPr>
          <w:rFonts w:cs="Times New Roman"/>
          <w:lang w:val="es-MX" w:eastAsia="es-MX"/>
        </w:rPr>
      </w:pPr>
      <w:r w:rsidRPr="000F1FA0">
        <w:t>De diciembre de 2012 a diciembre de 2017, el saldo d</w:t>
      </w:r>
      <w:r>
        <w:t xml:space="preserve">e crédito directo e inducido </w:t>
      </w:r>
      <w:r w:rsidRPr="000F1FA0">
        <w:t>presentó un crecimiento real de 140.0</w:t>
      </w:r>
      <w:r w:rsidR="00BD4351">
        <w:t>%</w:t>
      </w:r>
      <w:r w:rsidRPr="000F1FA0">
        <w:t>.</w:t>
      </w:r>
    </w:p>
    <w:p w:rsidR="009A0439" w:rsidRDefault="009A0439" w:rsidP="009A0439">
      <w:pPr>
        <w:pStyle w:val="Prrafodelista"/>
        <w:rPr>
          <w:lang w:eastAsia="es-MX"/>
        </w:rPr>
      </w:pPr>
    </w:p>
    <w:p w:rsidR="00A30FF0" w:rsidRDefault="00A30FF0" w:rsidP="009A0439">
      <w:pPr>
        <w:pStyle w:val="Cuerpodeltexto"/>
        <w:numPr>
          <w:ilvl w:val="0"/>
          <w:numId w:val="10"/>
        </w:numPr>
        <w:ind w:left="426" w:firstLine="0"/>
        <w:rPr>
          <w:rFonts w:cs="Times New Roman"/>
          <w:lang w:val="es-MX" w:eastAsia="es-MX"/>
        </w:rPr>
      </w:pPr>
      <w:r w:rsidRPr="0060753B">
        <w:rPr>
          <w:rFonts w:cs="Times New Roman"/>
          <w:lang w:val="es-MX" w:eastAsia="es-MX"/>
        </w:rPr>
        <w:lastRenderedPageBreak/>
        <w:t>La Institución registró un saldo</w:t>
      </w:r>
      <w:r>
        <w:rPr>
          <w:rFonts w:cs="Times New Roman"/>
          <w:lang w:val="es-MX" w:eastAsia="es-MX"/>
        </w:rPr>
        <w:t xml:space="preserve"> de cartera</w:t>
      </w:r>
      <w:r w:rsidRPr="0060753B">
        <w:rPr>
          <w:rFonts w:cs="Times New Roman"/>
          <w:lang w:val="es-MX" w:eastAsia="es-MX"/>
        </w:rPr>
        <w:t xml:space="preserve"> histórico de $</w:t>
      </w:r>
      <w:r>
        <w:rPr>
          <w:rFonts w:cs="Times New Roman"/>
          <w:lang w:val="es-MX" w:eastAsia="es-MX"/>
        </w:rPr>
        <w:t>58,016</w:t>
      </w:r>
      <w:r w:rsidRPr="0060753B">
        <w:rPr>
          <w:rFonts w:cs="Times New Roman"/>
          <w:lang w:val="es-MX" w:eastAsia="es-MX"/>
        </w:rPr>
        <w:t xml:space="preserve"> </w:t>
      </w:r>
      <w:r>
        <w:t>mdp</w:t>
      </w:r>
      <w:r w:rsidRPr="0060753B">
        <w:rPr>
          <w:rFonts w:cs="Times New Roman"/>
          <w:lang w:val="es-MX" w:eastAsia="es-MX"/>
        </w:rPr>
        <w:t xml:space="preserve">, cifra que representó un incremento real de </w:t>
      </w:r>
      <w:r>
        <w:rPr>
          <w:rFonts w:cs="Times New Roman"/>
          <w:lang w:val="es-MX" w:eastAsia="es-MX"/>
        </w:rPr>
        <w:t>7.0</w:t>
      </w:r>
      <w:r w:rsidRPr="0060753B">
        <w:rPr>
          <w:rFonts w:cs="Times New Roman"/>
          <w:lang w:val="es-MX" w:eastAsia="es-MX"/>
        </w:rPr>
        <w:t>%, respecto al cierre del año anterior.</w:t>
      </w:r>
      <w:r w:rsidRPr="0060753B">
        <w:rPr>
          <w:rStyle w:val="Refdenotaalpie"/>
          <w:rFonts w:cs="Times New Roman"/>
          <w:lang w:val="es-MX" w:eastAsia="es-MX"/>
        </w:rPr>
        <w:t xml:space="preserve"> </w:t>
      </w:r>
    </w:p>
    <w:p w:rsidR="009A0439" w:rsidRDefault="009A0439" w:rsidP="009A0439">
      <w:pPr>
        <w:pStyle w:val="Cuerpodeltexto"/>
        <w:rPr>
          <w:rFonts w:cs="Times New Roman"/>
          <w:lang w:val="es-MX" w:eastAsia="es-MX"/>
        </w:rPr>
      </w:pPr>
    </w:p>
    <w:p w:rsidR="00A30FF0" w:rsidRDefault="00A30FF0" w:rsidP="009A0439">
      <w:pPr>
        <w:pStyle w:val="Cuerpodeltexto"/>
        <w:numPr>
          <w:ilvl w:val="0"/>
          <w:numId w:val="10"/>
        </w:numPr>
        <w:ind w:left="426" w:firstLine="0"/>
      </w:pPr>
      <w:r w:rsidRPr="000F1FA0">
        <w:t xml:space="preserve">Desde su anuncio en agosto de 2014 y al 31 de diciembre de 2017, se </w:t>
      </w:r>
      <w:r>
        <w:t>ha otorgado</w:t>
      </w:r>
      <w:r w:rsidRPr="000F1FA0">
        <w:t xml:space="preserve"> financiamiento a 386,932 pequeños productores con 36,472 </w:t>
      </w:r>
      <w:r>
        <w:t>mdp</w:t>
      </w:r>
      <w:r w:rsidRPr="000F1FA0">
        <w:t>. Cabe mencionar que el 27% de los productores son mujeres.</w:t>
      </w:r>
      <w:r>
        <w:t xml:space="preserve"> </w:t>
      </w:r>
    </w:p>
    <w:p w:rsidR="009A0439" w:rsidRPr="00155D07" w:rsidRDefault="009A0439" w:rsidP="009A0439">
      <w:pPr>
        <w:pStyle w:val="Cuerpodeltexto"/>
      </w:pPr>
    </w:p>
    <w:p w:rsidR="00A30FF0" w:rsidRDefault="00A30FF0" w:rsidP="009A0439">
      <w:pPr>
        <w:pStyle w:val="Cuerpodeltexto"/>
        <w:numPr>
          <w:ilvl w:val="0"/>
          <w:numId w:val="10"/>
        </w:numPr>
        <w:ind w:left="426" w:firstLine="0"/>
      </w:pPr>
      <w:r w:rsidRPr="00155D07">
        <w:t xml:space="preserve">Solo durante 2017, a través de este programa se otorgó financiamiento por 13,193 </w:t>
      </w:r>
      <w:r>
        <w:t>mdp</w:t>
      </w:r>
      <w:r w:rsidRPr="00155D07">
        <w:t>, en beneficio de 134,673 productores, de los cuales el 29% fueron mujeres.</w:t>
      </w:r>
    </w:p>
    <w:p w:rsidR="009A0439" w:rsidRPr="00155D07" w:rsidRDefault="009A0439" w:rsidP="009A0439">
      <w:pPr>
        <w:pStyle w:val="Cuerpodeltexto"/>
      </w:pPr>
    </w:p>
    <w:p w:rsidR="00A30FF0" w:rsidRDefault="00A30FF0" w:rsidP="009A0439">
      <w:pPr>
        <w:pStyle w:val="Cuerpodeltexto"/>
        <w:rPr>
          <w:rFonts w:ascii="Soberana Sans" w:hAnsi="Soberana Sans"/>
          <w:b/>
          <w:caps/>
          <w:sz w:val="38"/>
          <w:szCs w:val="38"/>
        </w:rPr>
      </w:pPr>
      <w:r>
        <w:rPr>
          <w:lang w:val="es-MX" w:eastAsia="es-MX"/>
        </w:rPr>
        <w:t>E</w:t>
      </w:r>
      <w:r w:rsidRPr="009658C2">
        <w:rPr>
          <w:lang w:eastAsia="es-MX"/>
        </w:rPr>
        <w:t xml:space="preserve">l patrimonio “prestable” de </w:t>
      </w:r>
      <w:r>
        <w:rPr>
          <w:lang w:eastAsia="es-MX"/>
        </w:rPr>
        <w:t>la Institución al cierre de 2017</w:t>
      </w:r>
      <w:r w:rsidRPr="009658C2">
        <w:rPr>
          <w:lang w:eastAsia="es-MX"/>
        </w:rPr>
        <w:t>, ascendió a $</w:t>
      </w:r>
      <w:r>
        <w:rPr>
          <w:lang w:eastAsia="es-MX"/>
        </w:rPr>
        <w:t xml:space="preserve">31,289 </w:t>
      </w:r>
      <w:r>
        <w:t>mdp</w:t>
      </w:r>
      <w:r>
        <w:rPr>
          <w:lang w:eastAsia="es-MX"/>
        </w:rPr>
        <w:t>,</w:t>
      </w:r>
      <w:r w:rsidRPr="009658C2">
        <w:rPr>
          <w:lang w:eastAsia="es-MX"/>
        </w:rPr>
        <w:t xml:space="preserve"> lo que representa un crecimiento de </w:t>
      </w:r>
      <w:r>
        <w:rPr>
          <w:lang w:eastAsia="es-MX"/>
        </w:rPr>
        <w:t>8.1</w:t>
      </w:r>
      <w:r w:rsidRPr="009658C2">
        <w:rPr>
          <w:lang w:eastAsia="es-MX"/>
        </w:rPr>
        <w:t>% respecto del patrimonio “prestable” original actualizado de $</w:t>
      </w:r>
      <w:r>
        <w:rPr>
          <w:lang w:eastAsia="es-MX"/>
        </w:rPr>
        <w:t>28,952</w:t>
      </w:r>
      <w:r w:rsidRPr="009658C2">
        <w:rPr>
          <w:lang w:eastAsia="es-MX"/>
        </w:rPr>
        <w:t xml:space="preserve"> </w:t>
      </w:r>
      <w:r>
        <w:t>mdp</w:t>
      </w:r>
      <w:r>
        <w:rPr>
          <w:lang w:eastAsia="es-MX"/>
        </w:rPr>
        <w:t>.</w:t>
      </w:r>
      <w:r>
        <w:br w:type="page"/>
      </w:r>
    </w:p>
    <w:p w:rsidR="00A30FF0" w:rsidRDefault="00A30FF0" w:rsidP="00A30FF0">
      <w:pPr>
        <w:pStyle w:val="TITULO1APARTADO"/>
      </w:pPr>
      <w:r w:rsidRPr="005263DF">
        <w:lastRenderedPageBreak/>
        <w:t xml:space="preserve">AVANCE Y </w:t>
      </w:r>
      <w:r>
        <w:t>RESULTADOS</w:t>
      </w:r>
    </w:p>
    <w:p w:rsidR="009A0439" w:rsidRPr="009A0439" w:rsidRDefault="009A0439" w:rsidP="009A0439"/>
    <w:p w:rsidR="00A30FF0" w:rsidRDefault="00A30FF0" w:rsidP="00A30FF0">
      <w:pPr>
        <w:pStyle w:val="TITULO4OBJETIVO"/>
        <w:jc w:val="both"/>
      </w:pPr>
      <w:r w:rsidRPr="009C3DEB">
        <w:t xml:space="preserve">Objetivo 1. </w:t>
      </w:r>
      <w:r w:rsidRPr="00C078C0">
        <w:t>Incrementar el saldo de financiamiento, mejorando las condiciones a los sectores de atención en primer piso, segundo piso e inducido</w:t>
      </w:r>
    </w:p>
    <w:p w:rsidR="005A44DA" w:rsidRPr="005A44DA" w:rsidRDefault="005A44DA" w:rsidP="005A44DA"/>
    <w:p w:rsidR="00A30FF0" w:rsidRDefault="00A30FF0" w:rsidP="009A0439">
      <w:pPr>
        <w:pStyle w:val="Cuerpodeltexto"/>
      </w:pPr>
      <w:r>
        <w:t xml:space="preserve">Para contribuir a </w:t>
      </w:r>
      <w:r w:rsidRPr="003E3A3B">
        <w:t xml:space="preserve">resolver la problemática descrita en el Plan Nacional de Desarrollo </w:t>
      </w:r>
      <w:r>
        <w:t xml:space="preserve">(PND) </w:t>
      </w:r>
      <w:r w:rsidRPr="003E3A3B">
        <w:t xml:space="preserve">y </w:t>
      </w:r>
      <w:r>
        <w:t xml:space="preserve">en </w:t>
      </w:r>
      <w:r w:rsidRPr="003E3A3B">
        <w:t>los Programas Sectoriales</w:t>
      </w:r>
      <w:r>
        <w:t>, respecto al mejoramiento de las condiciones de vida del sector rural</w:t>
      </w:r>
      <w:r w:rsidRPr="003E3A3B">
        <w:t xml:space="preserve">, se </w:t>
      </w:r>
      <w:r>
        <w:t>requiere</w:t>
      </w:r>
      <w:r w:rsidRPr="003E3A3B">
        <w:t xml:space="preserve"> una activa promoción de las herramientas con las que cuenta la Institución, mejorar las condiciones de financiamiento y crear</w:t>
      </w:r>
      <w:r>
        <w:t xml:space="preserve"> </w:t>
      </w:r>
      <w:r w:rsidRPr="003E3A3B">
        <w:t xml:space="preserve">nuevos programas y productos para atender </w:t>
      </w:r>
      <w:r>
        <w:t>las diversas necesidades de</w:t>
      </w:r>
      <w:r w:rsidRPr="003E3A3B">
        <w:t xml:space="preserve"> los clientes.</w:t>
      </w:r>
    </w:p>
    <w:p w:rsidR="009A0439" w:rsidRDefault="009A0439" w:rsidP="009A0439">
      <w:pPr>
        <w:pStyle w:val="Cuerpodeltexto"/>
      </w:pPr>
    </w:p>
    <w:p w:rsidR="00A30FF0" w:rsidRDefault="00A30FF0" w:rsidP="009A0439">
      <w:pPr>
        <w:spacing w:before="120" w:after="120" w:line="220" w:lineRule="exact"/>
      </w:pPr>
      <w:r w:rsidRPr="00C0138A">
        <w:rPr>
          <w:lang w:val="es-ES" w:eastAsia="es-ES"/>
        </w:rPr>
        <w:t>Un</w:t>
      </w:r>
      <w:r>
        <w:rPr>
          <w:lang w:val="es-ES" w:eastAsia="es-ES"/>
        </w:rPr>
        <w:t>a</w:t>
      </w:r>
      <w:r w:rsidRPr="00C0138A">
        <w:rPr>
          <w:lang w:val="es-ES" w:eastAsia="es-ES"/>
        </w:rPr>
        <w:t xml:space="preserve"> de </w:t>
      </w:r>
      <w:r>
        <w:rPr>
          <w:lang w:val="es-ES" w:eastAsia="es-ES"/>
        </w:rPr>
        <w:t>la</w:t>
      </w:r>
      <w:r w:rsidRPr="00C0138A">
        <w:rPr>
          <w:lang w:val="es-ES" w:eastAsia="es-ES"/>
        </w:rPr>
        <w:t xml:space="preserve">s principales </w:t>
      </w:r>
      <w:r>
        <w:rPr>
          <w:lang w:val="es-ES" w:eastAsia="es-ES"/>
        </w:rPr>
        <w:t>directrices de la Institución</w:t>
      </w:r>
      <w:r w:rsidRPr="00C0138A">
        <w:rPr>
          <w:lang w:val="es-ES" w:eastAsia="es-ES"/>
        </w:rPr>
        <w:t xml:space="preserve"> es </w:t>
      </w:r>
      <w:r>
        <w:rPr>
          <w:lang w:val="es-ES" w:eastAsia="es-ES"/>
        </w:rPr>
        <w:t>proporcionar</w:t>
      </w:r>
      <w:r w:rsidRPr="00C0138A">
        <w:rPr>
          <w:lang w:val="es-ES" w:eastAsia="es-ES"/>
        </w:rPr>
        <w:t xml:space="preserve"> un mayor acceso al financiamiento en condiciones accesibles y, sobre todo, </w:t>
      </w:r>
      <w:r w:rsidR="0055448F">
        <w:rPr>
          <w:lang w:val="es-ES" w:eastAsia="es-ES"/>
        </w:rPr>
        <w:t>de manera oportuna</w:t>
      </w:r>
      <w:r w:rsidRPr="00C0138A">
        <w:rPr>
          <w:lang w:val="es-ES" w:eastAsia="es-ES"/>
        </w:rPr>
        <w:t xml:space="preserve">. Para ello, además de </w:t>
      </w:r>
      <w:r>
        <w:rPr>
          <w:lang w:val="es-ES" w:eastAsia="es-ES"/>
        </w:rPr>
        <w:t>optimizar los procesos internos</w:t>
      </w:r>
      <w:r w:rsidRPr="003E3A3B">
        <w:t>,</w:t>
      </w:r>
      <w:r>
        <w:t xml:space="preserve"> </w:t>
      </w:r>
      <w:r w:rsidRPr="003E3A3B">
        <w:t>se</w:t>
      </w:r>
      <w:r>
        <w:t xml:space="preserve"> requiere </w:t>
      </w:r>
      <w:r w:rsidRPr="003E3A3B">
        <w:t xml:space="preserve">mejorar las condiciones </w:t>
      </w:r>
      <w:r>
        <w:t>crediticias</w:t>
      </w:r>
      <w:r w:rsidRPr="003E3A3B">
        <w:t xml:space="preserve"> y </w:t>
      </w:r>
      <w:r>
        <w:t xml:space="preserve">desarrollar </w:t>
      </w:r>
      <w:r w:rsidRPr="003E3A3B">
        <w:t xml:space="preserve">nuevos programas y productos </w:t>
      </w:r>
      <w:r>
        <w:t xml:space="preserve">focalizados </w:t>
      </w:r>
      <w:r w:rsidRPr="003E3A3B">
        <w:t xml:space="preserve">para atender </w:t>
      </w:r>
      <w:r>
        <w:t>las necesidades de financiamiento de</w:t>
      </w:r>
      <w:r w:rsidRPr="003E3A3B">
        <w:t xml:space="preserve"> los </w:t>
      </w:r>
      <w:r>
        <w:t>productores rurales del país</w:t>
      </w:r>
      <w:r w:rsidRPr="003E3A3B">
        <w:t>.</w:t>
      </w:r>
    </w:p>
    <w:p w:rsidR="00A30FF0" w:rsidRDefault="00A30FF0" w:rsidP="009A0439">
      <w:pPr>
        <w:spacing w:before="120" w:after="120" w:line="220" w:lineRule="exact"/>
      </w:pPr>
    </w:p>
    <w:p w:rsidR="00A30FF0" w:rsidRDefault="00A30FF0" w:rsidP="009A0439">
      <w:pPr>
        <w:pStyle w:val="TITULO5SECCIN"/>
        <w:spacing w:before="120" w:after="120" w:line="220" w:lineRule="exact"/>
        <w:jc w:val="both"/>
      </w:pPr>
      <w:r>
        <w:t>Resultados</w:t>
      </w:r>
    </w:p>
    <w:p w:rsidR="005A44DA" w:rsidRPr="005A44DA" w:rsidRDefault="005A44DA" w:rsidP="009A0439">
      <w:pPr>
        <w:spacing w:before="120" w:after="120" w:line="220" w:lineRule="exact"/>
      </w:pPr>
    </w:p>
    <w:p w:rsidR="00A30FF0" w:rsidRDefault="00A30FF0" w:rsidP="009A0439">
      <w:pPr>
        <w:pStyle w:val="Cuerpodeltexto"/>
        <w:rPr>
          <w:lang w:val="es-ES"/>
        </w:rPr>
      </w:pPr>
      <w:r>
        <w:rPr>
          <w:lang w:val="es-ES"/>
        </w:rPr>
        <w:t>L</w:t>
      </w:r>
      <w:r w:rsidRPr="00B06F7E">
        <w:rPr>
          <w:lang w:val="es-ES"/>
        </w:rPr>
        <w:t xml:space="preserve">a </w:t>
      </w:r>
      <w:r w:rsidR="00D9089C">
        <w:t>FND</w:t>
      </w:r>
      <w:r w:rsidR="00D9089C">
        <w:rPr>
          <w:lang w:val="es-ES"/>
        </w:rPr>
        <w:t xml:space="preserve"> </w:t>
      </w:r>
      <w:r w:rsidRPr="00B06F7E">
        <w:rPr>
          <w:lang w:val="es-ES"/>
        </w:rPr>
        <w:t xml:space="preserve">continuó consolidándose como una opción de financiamiento para los productores del </w:t>
      </w:r>
      <w:r>
        <w:rPr>
          <w:lang w:val="es-ES"/>
        </w:rPr>
        <w:t>medio</w:t>
      </w:r>
      <w:r w:rsidRPr="00B06F7E">
        <w:rPr>
          <w:lang w:val="es-ES"/>
        </w:rPr>
        <w:t xml:space="preserve"> rural, </w:t>
      </w:r>
      <w:r>
        <w:rPr>
          <w:lang w:val="es-ES"/>
        </w:rPr>
        <w:t>incrementado de manera significativa</w:t>
      </w:r>
      <w:r w:rsidRPr="00B06F7E">
        <w:rPr>
          <w:lang w:val="es-ES"/>
        </w:rPr>
        <w:t xml:space="preserve"> el flujo de recursos colocados en </w:t>
      </w:r>
      <w:r>
        <w:rPr>
          <w:lang w:val="es-ES"/>
        </w:rPr>
        <w:t>este</w:t>
      </w:r>
      <w:r w:rsidRPr="00B06F7E">
        <w:rPr>
          <w:lang w:val="es-ES"/>
        </w:rPr>
        <w:t xml:space="preserve"> sector, cuidando la estabilidad financiera de la Institución</w:t>
      </w:r>
      <w:r>
        <w:rPr>
          <w:lang w:val="es-ES"/>
        </w:rPr>
        <w:t>,</w:t>
      </w:r>
      <w:r w:rsidRPr="00B06F7E">
        <w:rPr>
          <w:lang w:val="es-ES"/>
        </w:rPr>
        <w:t xml:space="preserve"> a través del financiamiento de proyectos viables y sustentables, logrando no sólo preservar, sino incrementar el valor del patrimonio de la Institución.</w:t>
      </w:r>
    </w:p>
    <w:p w:rsidR="009A0439" w:rsidRDefault="009A0439" w:rsidP="009A0439">
      <w:pPr>
        <w:pStyle w:val="Cuerpodeltexto"/>
        <w:rPr>
          <w:lang w:val="es-ES"/>
        </w:rPr>
      </w:pPr>
    </w:p>
    <w:p w:rsidR="00A30FF0" w:rsidRDefault="00A30FF0" w:rsidP="009A0439">
      <w:pPr>
        <w:pStyle w:val="Cuerpodeltexto"/>
        <w:rPr>
          <w:lang w:eastAsia="es-MX"/>
        </w:rPr>
      </w:pPr>
      <w:r w:rsidRPr="00FC60A3">
        <w:rPr>
          <w:lang w:val="es-ES"/>
        </w:rPr>
        <w:t xml:space="preserve">Por otra parte, </w:t>
      </w:r>
      <w:r>
        <w:rPr>
          <w:lang w:val="es-ES"/>
        </w:rPr>
        <w:t>se fortaleció el</w:t>
      </w:r>
      <w:r w:rsidRPr="00FC60A3">
        <w:rPr>
          <w:lang w:val="es-ES"/>
        </w:rPr>
        <w:t xml:space="preserve"> proceso de crédito a través </w:t>
      </w:r>
      <w:r>
        <w:rPr>
          <w:lang w:val="es-ES"/>
        </w:rPr>
        <w:t xml:space="preserve">de la revisión y modificación de la normatividad establecida a </w:t>
      </w:r>
      <w:r>
        <w:rPr>
          <w:lang w:eastAsia="es-MX"/>
        </w:rPr>
        <w:t>fin de a</w:t>
      </w:r>
      <w:r w:rsidRPr="00584C90">
        <w:rPr>
          <w:lang w:eastAsia="es-MX"/>
        </w:rPr>
        <w:t>decuar los procesos internos para agilizar la autorizació</w:t>
      </w:r>
      <w:r>
        <w:rPr>
          <w:lang w:eastAsia="es-MX"/>
        </w:rPr>
        <w:t>n del crédito, reporto y apoyos.</w:t>
      </w:r>
    </w:p>
    <w:p w:rsidR="009A0439" w:rsidRDefault="009A0439" w:rsidP="009A0439">
      <w:pPr>
        <w:pStyle w:val="Cuerpodeltexto"/>
        <w:rPr>
          <w:lang w:eastAsia="es-MX"/>
        </w:rPr>
      </w:pPr>
    </w:p>
    <w:p w:rsidR="00A30FF0" w:rsidRDefault="00A30FF0" w:rsidP="009A0439">
      <w:pPr>
        <w:pStyle w:val="Cuerpodeltexto"/>
      </w:pPr>
      <w:r>
        <w:rPr>
          <w:lang w:eastAsia="es-MX"/>
        </w:rPr>
        <w:t xml:space="preserve">Adicionalmente, se registró un avance significativo en el proceso relativo a la contratación </w:t>
      </w:r>
      <w:r w:rsidRPr="004167AE">
        <w:t xml:space="preserve">para la elaboración de la </w:t>
      </w:r>
      <w:r w:rsidRPr="004167AE">
        <w:t>estrategia, rediseño de procesos y requerimientos técnicos para la transformación tecnológica de la FND.</w:t>
      </w:r>
    </w:p>
    <w:p w:rsidR="00A30FF0" w:rsidRPr="00FC60A3" w:rsidRDefault="00A30FF0" w:rsidP="009A0439">
      <w:pPr>
        <w:pStyle w:val="Cuerpodeltexto"/>
        <w:rPr>
          <w:lang w:val="es-ES"/>
        </w:rPr>
      </w:pPr>
    </w:p>
    <w:p w:rsidR="00A30FF0" w:rsidRDefault="00A30FF0" w:rsidP="009A0439">
      <w:pPr>
        <w:pStyle w:val="TITULO5SECCIN"/>
        <w:spacing w:before="120" w:after="120" w:line="220" w:lineRule="exact"/>
        <w:jc w:val="both"/>
      </w:pPr>
      <w:bookmarkStart w:id="0" w:name="_Toc411595712"/>
      <w:r w:rsidRPr="00676990">
        <w:t>Actividades relevantes</w:t>
      </w:r>
      <w:bookmarkEnd w:id="0"/>
    </w:p>
    <w:p w:rsidR="005A44DA" w:rsidRPr="005A44DA" w:rsidRDefault="005A44DA" w:rsidP="009A0439">
      <w:pPr>
        <w:spacing w:before="120" w:after="120" w:line="220" w:lineRule="exact"/>
      </w:pPr>
    </w:p>
    <w:p w:rsidR="00A30FF0" w:rsidRDefault="00A30FF0" w:rsidP="009A0439">
      <w:pPr>
        <w:pStyle w:val="Ttulo3"/>
        <w:spacing w:after="120" w:line="220" w:lineRule="exact"/>
        <w:jc w:val="both"/>
        <w:rPr>
          <w:rFonts w:ascii="Soberana Sans Light" w:hAnsi="Soberana Sans Light"/>
          <w:b/>
          <w:bCs/>
          <w:i w:val="0"/>
          <w:iCs w:val="0"/>
          <w:sz w:val="17"/>
          <w:szCs w:val="17"/>
          <w:lang w:val="es-ES"/>
        </w:rPr>
      </w:pPr>
      <w:r w:rsidRPr="00B8517A">
        <w:rPr>
          <w:rFonts w:ascii="Soberana Sans Light" w:hAnsi="Soberana Sans Light"/>
          <w:b/>
          <w:bCs/>
          <w:i w:val="0"/>
          <w:iCs w:val="0"/>
          <w:sz w:val="17"/>
          <w:szCs w:val="17"/>
          <w:lang w:val="es-ES"/>
        </w:rPr>
        <w:t>Estrategia 1.</w:t>
      </w:r>
      <w:r>
        <w:rPr>
          <w:rFonts w:ascii="Soberana Sans Light" w:hAnsi="Soberana Sans Light"/>
          <w:b/>
          <w:bCs/>
          <w:i w:val="0"/>
          <w:iCs w:val="0"/>
          <w:sz w:val="17"/>
          <w:szCs w:val="17"/>
          <w:lang w:val="es-ES"/>
        </w:rPr>
        <w:t>1</w:t>
      </w:r>
      <w:r w:rsidRPr="00B8517A">
        <w:rPr>
          <w:rFonts w:ascii="Soberana Sans Light" w:hAnsi="Soberana Sans Light"/>
          <w:b/>
          <w:bCs/>
          <w:i w:val="0"/>
          <w:iCs w:val="0"/>
          <w:sz w:val="17"/>
          <w:szCs w:val="17"/>
          <w:lang w:val="es-ES"/>
        </w:rPr>
        <w:t xml:space="preserve"> </w:t>
      </w:r>
      <w:r w:rsidRPr="00A20F0D">
        <w:rPr>
          <w:rFonts w:ascii="Soberana Sans Light" w:hAnsi="Soberana Sans Light"/>
          <w:b/>
          <w:bCs/>
          <w:i w:val="0"/>
          <w:iCs w:val="0"/>
          <w:sz w:val="17"/>
          <w:szCs w:val="17"/>
          <w:lang w:val="es-ES"/>
        </w:rPr>
        <w:t>Revisar la</w:t>
      </w:r>
      <w:r>
        <w:rPr>
          <w:rFonts w:ascii="Soberana Sans Light" w:hAnsi="Soberana Sans Light"/>
          <w:b/>
          <w:bCs/>
          <w:i w:val="0"/>
          <w:iCs w:val="0"/>
          <w:sz w:val="17"/>
          <w:szCs w:val="17"/>
          <w:lang w:val="es-ES"/>
        </w:rPr>
        <w:t>s</w:t>
      </w:r>
      <w:r w:rsidRPr="00A20F0D">
        <w:rPr>
          <w:rFonts w:ascii="Soberana Sans Light" w:hAnsi="Soberana Sans Light"/>
          <w:b/>
          <w:bCs/>
          <w:i w:val="0"/>
          <w:iCs w:val="0"/>
          <w:sz w:val="17"/>
          <w:szCs w:val="17"/>
          <w:lang w:val="es-ES"/>
        </w:rPr>
        <w:t xml:space="preserve"> condiciones de financiamiento.</w:t>
      </w:r>
    </w:p>
    <w:p w:rsidR="005A44DA" w:rsidRPr="005A44DA" w:rsidRDefault="005A44DA" w:rsidP="009A0439">
      <w:pPr>
        <w:spacing w:before="120" w:after="120" w:line="220" w:lineRule="exact"/>
        <w:rPr>
          <w:lang w:val="es-ES" w:eastAsia="es-ES"/>
        </w:rPr>
      </w:pPr>
    </w:p>
    <w:p w:rsidR="00A30FF0" w:rsidRDefault="00A30FF0" w:rsidP="009A0439">
      <w:pPr>
        <w:spacing w:before="120" w:after="120" w:line="220" w:lineRule="exact"/>
        <w:rPr>
          <w:szCs w:val="17"/>
          <w:lang w:eastAsia="es-MX"/>
        </w:rPr>
      </w:pPr>
      <w:r>
        <w:rPr>
          <w:szCs w:val="17"/>
          <w:lang w:eastAsia="es-MX"/>
        </w:rPr>
        <w:t>Como parte de la estrategia integral para revisar y mejorar las condiciones de financiamiento que la FND ofrece a los productores rurales del país, la Institución incrementó</w:t>
      </w:r>
      <w:r w:rsidRPr="00A20F0D">
        <w:rPr>
          <w:szCs w:val="17"/>
          <w:lang w:eastAsia="es-MX"/>
        </w:rPr>
        <w:t xml:space="preserve"> las acciones de supervisión de la cartera vencida judicial y su impacto en la recuperación de la misma. </w:t>
      </w:r>
    </w:p>
    <w:p w:rsidR="009A0439" w:rsidRPr="00A20F0D" w:rsidRDefault="009A0439" w:rsidP="009A0439">
      <w:pPr>
        <w:spacing w:before="120" w:after="120" w:line="220" w:lineRule="exact"/>
        <w:rPr>
          <w:szCs w:val="17"/>
          <w:lang w:eastAsia="es-MX"/>
        </w:rPr>
      </w:pPr>
    </w:p>
    <w:p w:rsidR="00A30FF0" w:rsidRPr="00A20F0D" w:rsidRDefault="00A30FF0" w:rsidP="009A0439">
      <w:pPr>
        <w:spacing w:before="120" w:after="120" w:line="220" w:lineRule="exact"/>
        <w:rPr>
          <w:szCs w:val="17"/>
          <w:lang w:eastAsia="es-MX"/>
        </w:rPr>
      </w:pPr>
      <w:r>
        <w:rPr>
          <w:szCs w:val="17"/>
          <w:lang w:eastAsia="es-MX"/>
        </w:rPr>
        <w:t xml:space="preserve">Lo anterior permite a la Institución reintegrar al patrimonio el monto recuperado. </w:t>
      </w:r>
      <w:r w:rsidRPr="00A20F0D">
        <w:rPr>
          <w:szCs w:val="17"/>
          <w:lang w:eastAsia="es-MX"/>
        </w:rPr>
        <w:t xml:space="preserve">Al cierre del </w:t>
      </w:r>
      <w:r>
        <w:rPr>
          <w:szCs w:val="17"/>
          <w:lang w:eastAsia="es-MX"/>
        </w:rPr>
        <w:t xml:space="preserve">ejercicio 2017 </w:t>
      </w:r>
      <w:r w:rsidRPr="00A20F0D">
        <w:rPr>
          <w:szCs w:val="17"/>
          <w:lang w:eastAsia="es-MX"/>
        </w:rPr>
        <w:t>se superó la meta de revisión programada de 3,890 juicios programados, al alcanzar un total de 4,560 asuntos en cartera vencida judicial asociados a una recuper</w:t>
      </w:r>
      <w:r>
        <w:rPr>
          <w:szCs w:val="17"/>
          <w:lang w:eastAsia="es-MX"/>
        </w:rPr>
        <w:t xml:space="preserve">ación de $643 </w:t>
      </w:r>
      <w:r w:rsidRPr="00A20F0D">
        <w:rPr>
          <w:szCs w:val="17"/>
          <w:lang w:eastAsia="es-MX"/>
        </w:rPr>
        <w:t>mdp.</w:t>
      </w:r>
    </w:p>
    <w:p w:rsidR="00A30FF0" w:rsidRDefault="00A30FF0" w:rsidP="009A0439">
      <w:pPr>
        <w:spacing w:before="120" w:after="120" w:line="220" w:lineRule="exact"/>
        <w:rPr>
          <w:rFonts w:ascii="Soberana Sans" w:hAnsi="Soberana Sans"/>
        </w:rPr>
      </w:pPr>
    </w:p>
    <w:p w:rsidR="00A30FF0" w:rsidRDefault="00A30FF0" w:rsidP="009A0439">
      <w:pPr>
        <w:pStyle w:val="Ttulo3"/>
        <w:spacing w:after="120" w:line="220" w:lineRule="exact"/>
        <w:jc w:val="both"/>
        <w:rPr>
          <w:rFonts w:ascii="Soberana Sans Light" w:hAnsi="Soberana Sans Light"/>
          <w:b/>
          <w:bCs/>
          <w:i w:val="0"/>
          <w:iCs w:val="0"/>
          <w:sz w:val="17"/>
          <w:szCs w:val="17"/>
          <w:lang w:val="es-ES"/>
        </w:rPr>
      </w:pPr>
      <w:bookmarkStart w:id="1" w:name="_Toc411595715"/>
      <w:bookmarkStart w:id="2" w:name="_Toc412214559"/>
      <w:r w:rsidRPr="00B8517A">
        <w:rPr>
          <w:rFonts w:ascii="Soberana Sans Light" w:hAnsi="Soberana Sans Light"/>
          <w:b/>
          <w:bCs/>
          <w:i w:val="0"/>
          <w:iCs w:val="0"/>
          <w:sz w:val="17"/>
          <w:szCs w:val="17"/>
          <w:lang w:val="es-ES"/>
        </w:rPr>
        <w:t>Estrategia 1.3 Simplificar la normatividad</w:t>
      </w:r>
      <w:bookmarkEnd w:id="1"/>
      <w:bookmarkEnd w:id="2"/>
      <w:r w:rsidR="00A17DD7">
        <w:rPr>
          <w:rFonts w:ascii="Soberana Sans Light" w:hAnsi="Soberana Sans Light"/>
          <w:b/>
          <w:bCs/>
          <w:i w:val="0"/>
          <w:iCs w:val="0"/>
          <w:sz w:val="17"/>
          <w:szCs w:val="17"/>
          <w:lang w:val="es-ES"/>
        </w:rPr>
        <w:t>.</w:t>
      </w:r>
    </w:p>
    <w:p w:rsidR="005A44DA" w:rsidRPr="005A44DA" w:rsidRDefault="005A44DA" w:rsidP="009A0439">
      <w:pPr>
        <w:spacing w:before="120" w:after="120" w:line="220" w:lineRule="exact"/>
        <w:rPr>
          <w:lang w:val="es-ES" w:eastAsia="es-ES"/>
        </w:rPr>
      </w:pPr>
    </w:p>
    <w:p w:rsidR="005A715E" w:rsidRDefault="005A715E" w:rsidP="009A0439">
      <w:pPr>
        <w:spacing w:before="120" w:after="120" w:line="220" w:lineRule="exact"/>
        <w:rPr>
          <w:szCs w:val="17"/>
          <w:lang w:eastAsia="es-MX"/>
        </w:rPr>
      </w:pPr>
      <w:r>
        <w:rPr>
          <w:szCs w:val="17"/>
          <w:lang w:eastAsia="es-MX"/>
        </w:rPr>
        <w:t xml:space="preserve">En materia de simplificación normativa a fin de adecuar los procesos internos para agilizar la autorización del crédito, reporto y apoyos, durante el ejercicio anterior se emitieron diversas circulares normativas de Crédito y procedimientos de crédito para informar al personal y apoyar su implementación. Destacan las siguientes modificaciones a la normatividad de crédito: </w:t>
      </w:r>
    </w:p>
    <w:p w:rsidR="009A0439" w:rsidRDefault="009A0439" w:rsidP="009A0439">
      <w:pPr>
        <w:spacing w:before="120" w:after="120" w:line="220" w:lineRule="exact"/>
        <w:rPr>
          <w:szCs w:val="17"/>
          <w:lang w:eastAsia="es-MX"/>
        </w:rPr>
      </w:pPr>
    </w:p>
    <w:p w:rsidR="009A0439" w:rsidRPr="00BB00F6" w:rsidRDefault="005A715E" w:rsidP="009A0439">
      <w:pPr>
        <w:pStyle w:val="Cuerpodeltexto"/>
        <w:numPr>
          <w:ilvl w:val="0"/>
          <w:numId w:val="11"/>
        </w:numPr>
        <w:ind w:left="284" w:hanging="218"/>
      </w:pPr>
      <w:r w:rsidRPr="00BB00F6">
        <w:t>Precisión en la definición del Mercado Objetivo de la Institución, se eliminó el co</w:t>
      </w:r>
      <w:r w:rsidR="009A0439" w:rsidRPr="00BB00F6">
        <w:t>ncepto de “vinculación directa”.</w:t>
      </w:r>
    </w:p>
    <w:p w:rsidR="009A0439" w:rsidRPr="00BB00F6" w:rsidRDefault="009A0439" w:rsidP="009A0439">
      <w:pPr>
        <w:pStyle w:val="Cuerpodeltexto"/>
        <w:ind w:left="66"/>
      </w:pPr>
    </w:p>
    <w:p w:rsidR="005A715E" w:rsidRPr="00BB00F6" w:rsidRDefault="005A715E" w:rsidP="009A0439">
      <w:pPr>
        <w:pStyle w:val="Cuerpodeltexto"/>
        <w:numPr>
          <w:ilvl w:val="0"/>
          <w:numId w:val="11"/>
        </w:numPr>
        <w:ind w:left="284" w:hanging="218"/>
      </w:pPr>
      <w:r w:rsidRPr="00BB00F6">
        <w:t>Determinación de la política para el registro contable de los Convenios de Mediación y delos Convenios Judiciales.</w:t>
      </w:r>
    </w:p>
    <w:p w:rsidR="009A0439" w:rsidRPr="00BB00F6" w:rsidRDefault="009A0439" w:rsidP="009A0439">
      <w:pPr>
        <w:pStyle w:val="Cuerpodeltexto"/>
      </w:pPr>
    </w:p>
    <w:p w:rsidR="005A715E" w:rsidRDefault="005A715E" w:rsidP="009A0439">
      <w:pPr>
        <w:pStyle w:val="Cuerpodeltexto"/>
        <w:numPr>
          <w:ilvl w:val="0"/>
          <w:numId w:val="11"/>
        </w:numPr>
        <w:ind w:left="284" w:hanging="218"/>
      </w:pPr>
      <w:r w:rsidRPr="00BB00F6">
        <w:t xml:space="preserve">Definición de los criterios de elegibilidad de </w:t>
      </w:r>
      <w:r w:rsidR="0055448F" w:rsidRPr="00BB00F6">
        <w:t xml:space="preserve">los </w:t>
      </w:r>
      <w:r w:rsidRPr="00BB00F6">
        <w:t>Reportados por tipo de solicitante (Personas Físicas con actividad empresarial y Personas Morales).</w:t>
      </w:r>
    </w:p>
    <w:p w:rsidR="00A366DD" w:rsidRPr="00BB00F6" w:rsidRDefault="00A366DD" w:rsidP="00A366DD">
      <w:pPr>
        <w:pStyle w:val="Cuerpodeltexto"/>
      </w:pPr>
    </w:p>
    <w:p w:rsidR="005A715E" w:rsidRPr="00406CD7" w:rsidRDefault="005A715E" w:rsidP="009A0439">
      <w:pPr>
        <w:pStyle w:val="Cuerpodeltexto"/>
        <w:numPr>
          <w:ilvl w:val="0"/>
          <w:numId w:val="11"/>
        </w:numPr>
        <w:ind w:left="284" w:hanging="218"/>
      </w:pPr>
      <w:r w:rsidRPr="00BB00F6">
        <w:t xml:space="preserve">Precisión de los porcentajes de participación accionaria para la consulta ante las Sociedades de Información </w:t>
      </w:r>
      <w:r w:rsidRPr="00BB00F6">
        <w:lastRenderedPageBreak/>
        <w:t xml:space="preserve">Crediticia de los principales accionistas de las Personas </w:t>
      </w:r>
      <w:r w:rsidRPr="00406CD7">
        <w:t>Morales solicitantes o relacionadas.</w:t>
      </w:r>
    </w:p>
    <w:p w:rsidR="009A0439" w:rsidRPr="00406CD7" w:rsidRDefault="009A0439" w:rsidP="009A0439">
      <w:pPr>
        <w:pStyle w:val="Cuerpodeltexto"/>
        <w:ind w:left="284"/>
      </w:pPr>
    </w:p>
    <w:p w:rsidR="005A715E" w:rsidRPr="00406CD7" w:rsidRDefault="005A715E" w:rsidP="009A0439">
      <w:pPr>
        <w:pStyle w:val="Cuerpodeltexto"/>
        <w:numPr>
          <w:ilvl w:val="0"/>
          <w:numId w:val="11"/>
        </w:numPr>
        <w:ind w:left="284" w:hanging="218"/>
      </w:pPr>
      <w:r w:rsidRPr="00406CD7">
        <w:t>Contratación de p</w:t>
      </w:r>
      <w:r w:rsidR="0055448F" w:rsidRPr="00406CD7">
        <w:t>asivos con terceros en o</w:t>
      </w:r>
      <w:r w:rsidRPr="00406CD7">
        <w:t>peraciones de Segundo Piso.</w:t>
      </w:r>
    </w:p>
    <w:p w:rsidR="009A0439" w:rsidRDefault="009A0439" w:rsidP="009A0439">
      <w:pPr>
        <w:pStyle w:val="Cuerpodeltexto"/>
      </w:pPr>
    </w:p>
    <w:p w:rsidR="005A715E" w:rsidRDefault="005A715E" w:rsidP="009A0439">
      <w:pPr>
        <w:spacing w:before="120" w:after="120" w:line="220" w:lineRule="exact"/>
        <w:rPr>
          <w:szCs w:val="17"/>
          <w:lang w:eastAsia="es-MX"/>
        </w:rPr>
      </w:pPr>
      <w:r>
        <w:rPr>
          <w:szCs w:val="17"/>
          <w:lang w:eastAsia="es-MX"/>
        </w:rPr>
        <w:t>Adicionalmente, derivado del análisis realizado por las áreas participantes en el proceso de reporto se actualizaron tanto el Manual de Normas y Políticas de reporto (MNPR), como los procedimientos en la materia, asimismo, se modificaron los Lineamientos Generales para la Operación de Reporto.</w:t>
      </w:r>
    </w:p>
    <w:p w:rsidR="00A30FF0" w:rsidRDefault="00A30FF0" w:rsidP="009A0439">
      <w:pPr>
        <w:spacing w:before="120" w:after="120" w:line="220" w:lineRule="exact"/>
        <w:rPr>
          <w:szCs w:val="17"/>
          <w:lang w:eastAsia="es-MX"/>
        </w:rPr>
      </w:pPr>
    </w:p>
    <w:p w:rsidR="00A30FF0" w:rsidRDefault="00A30FF0" w:rsidP="009A0439">
      <w:pPr>
        <w:pStyle w:val="Ttulo3"/>
        <w:spacing w:after="120" w:line="220" w:lineRule="exact"/>
        <w:jc w:val="both"/>
        <w:rPr>
          <w:rFonts w:ascii="Soberana Sans Light" w:hAnsi="Soberana Sans Light"/>
          <w:b/>
          <w:bCs/>
          <w:i w:val="0"/>
          <w:iCs w:val="0"/>
          <w:sz w:val="17"/>
          <w:szCs w:val="17"/>
          <w:lang w:val="es-ES"/>
        </w:rPr>
      </w:pPr>
      <w:bookmarkStart w:id="3" w:name="_Toc411595716"/>
      <w:bookmarkStart w:id="4" w:name="_Toc412214560"/>
      <w:r w:rsidRPr="00B8517A">
        <w:rPr>
          <w:rFonts w:ascii="Soberana Sans Light" w:hAnsi="Soberana Sans Light"/>
          <w:b/>
          <w:bCs/>
          <w:i w:val="0"/>
          <w:iCs w:val="0"/>
          <w:sz w:val="17"/>
          <w:szCs w:val="17"/>
          <w:lang w:val="es-ES"/>
        </w:rPr>
        <w:t>Estrategia 1.4 Modernizar los sistemas informáticos</w:t>
      </w:r>
      <w:bookmarkEnd w:id="3"/>
      <w:bookmarkEnd w:id="4"/>
      <w:r w:rsidR="00A17DD7">
        <w:rPr>
          <w:rFonts w:ascii="Soberana Sans Light" w:hAnsi="Soberana Sans Light"/>
          <w:b/>
          <w:bCs/>
          <w:i w:val="0"/>
          <w:iCs w:val="0"/>
          <w:sz w:val="17"/>
          <w:szCs w:val="17"/>
          <w:lang w:val="es-ES"/>
        </w:rPr>
        <w:t>.</w:t>
      </w:r>
    </w:p>
    <w:p w:rsidR="005A44DA" w:rsidRPr="005A44DA" w:rsidRDefault="005A44DA" w:rsidP="009A0439">
      <w:pPr>
        <w:spacing w:before="120" w:after="120" w:line="220" w:lineRule="exact"/>
        <w:rPr>
          <w:lang w:val="es-ES" w:eastAsia="es-ES"/>
        </w:rPr>
      </w:pPr>
    </w:p>
    <w:p w:rsidR="00A30FF0" w:rsidRDefault="00A30FF0" w:rsidP="009A0439">
      <w:pPr>
        <w:pStyle w:val="Cuerpodeltexto"/>
      </w:pPr>
      <w:r>
        <w:t xml:space="preserve">Como parte de la estrategia para modernizar la plataforma informática </w:t>
      </w:r>
      <w:r w:rsidRPr="00466F78">
        <w:t xml:space="preserve">se </w:t>
      </w:r>
      <w:r>
        <w:t xml:space="preserve">implementaron y actualizaron </w:t>
      </w:r>
      <w:r w:rsidRPr="00466F78">
        <w:t xml:space="preserve">diversas funcionalidades en el sistema informático denominado </w:t>
      </w:r>
      <w:r>
        <w:t>M</w:t>
      </w:r>
      <w:r w:rsidRPr="00466F78">
        <w:t xml:space="preserve">ódulo </w:t>
      </w:r>
      <w:r>
        <w:t>J</w:t>
      </w:r>
      <w:r w:rsidRPr="00466F78">
        <w:t xml:space="preserve">urídico, como son: </w:t>
      </w:r>
      <w:r>
        <w:t>generación de</w:t>
      </w:r>
      <w:r w:rsidRPr="00466F78">
        <w:t xml:space="preserve"> informes de cartera vencida judicial, solicitud y control de gastos de juicio, actualización de catálogos de claves procesales y padrón de abogados.</w:t>
      </w:r>
    </w:p>
    <w:p w:rsidR="009A0439" w:rsidRDefault="009A0439" w:rsidP="009A0439">
      <w:pPr>
        <w:pStyle w:val="Cuerpodeltexto"/>
      </w:pPr>
    </w:p>
    <w:p w:rsidR="00A30FF0" w:rsidRDefault="00A30FF0" w:rsidP="009A0439">
      <w:pPr>
        <w:pStyle w:val="Cuerpodeltexto"/>
      </w:pPr>
      <w:r>
        <w:t>Se</w:t>
      </w:r>
      <w:r w:rsidRPr="00D56F45">
        <w:t xml:space="preserve"> continu</w:t>
      </w:r>
      <w:r>
        <w:t>ó</w:t>
      </w:r>
      <w:r w:rsidRPr="00D56F45">
        <w:t xml:space="preserve"> con lo</w:t>
      </w:r>
      <w:r>
        <w:t>s trabajos con el Banco Mundial, para la</w:t>
      </w:r>
      <w:r w:rsidRPr="00FA6094">
        <w:t xml:space="preserve"> contratación del servicio para la elaboración de la estrategia, rediseño de procesos y requerimientos técnicos para la transformación tecnológica de la Entidad</w:t>
      </w:r>
      <w:r>
        <w:t>. E</w:t>
      </w:r>
      <w:r w:rsidRPr="00D56F45">
        <w:t>n el marco de</w:t>
      </w:r>
      <w:r>
        <w:t xml:space="preserve"> este p</w:t>
      </w:r>
      <w:r w:rsidRPr="00D56F45">
        <w:t xml:space="preserve">royecto, </w:t>
      </w:r>
      <w:r>
        <w:t>s</w:t>
      </w:r>
      <w:r w:rsidRPr="004167AE">
        <w:t xml:space="preserve">e concluyó con la integración de los Términos de Referencia </w:t>
      </w:r>
      <w:r>
        <w:t>par</w:t>
      </w:r>
      <w:r w:rsidR="005A44DA">
        <w:t>a la contratación del servicio.</w:t>
      </w:r>
    </w:p>
    <w:p w:rsidR="009A0439" w:rsidRDefault="009A0439" w:rsidP="009A0439">
      <w:pPr>
        <w:pStyle w:val="Cuerpodeltexto"/>
      </w:pPr>
    </w:p>
    <w:p w:rsidR="00A30FF0" w:rsidRDefault="00A30FF0" w:rsidP="009A0439">
      <w:pPr>
        <w:pStyle w:val="Cuerpodeltexto"/>
      </w:pPr>
      <w:r>
        <w:t>Adicionalmente, c</w:t>
      </w:r>
      <w:r w:rsidRPr="004167AE">
        <w:t xml:space="preserve">omo parte de la integración de los procesos para implementar una nueva plataforma tecnológica y a fin de optimizar el Proceso de Reporto, </w:t>
      </w:r>
      <w:r>
        <w:t>fueron aprobados</w:t>
      </w:r>
      <w:r w:rsidRPr="004167AE">
        <w:t xml:space="preserve"> los cambios al MNPR, consi</w:t>
      </w:r>
      <w:r>
        <w:t>stentes en nueve procedimientos</w:t>
      </w:r>
      <w:r w:rsidRPr="00D56F45">
        <w:t xml:space="preserve">.   </w:t>
      </w:r>
    </w:p>
    <w:p w:rsidR="009A0439" w:rsidRDefault="009A0439" w:rsidP="009A0439">
      <w:pPr>
        <w:pStyle w:val="Cuerpodeltexto"/>
      </w:pPr>
    </w:p>
    <w:p w:rsidR="00A30FF0" w:rsidRDefault="00A30FF0" w:rsidP="009A0439">
      <w:pPr>
        <w:pStyle w:val="Cuerpodeltexto"/>
      </w:pPr>
      <w:r w:rsidRPr="009970DB">
        <w:t>Por último, el área de Tecnologías de la Información realizó</w:t>
      </w:r>
      <w:r>
        <w:t xml:space="preserve"> diversas </w:t>
      </w:r>
      <w:r w:rsidRPr="009970DB">
        <w:t>adecuaciones en los sistemas informáticos que contribuyen a fortalecer la toma de decisiones institucionales</w:t>
      </w:r>
      <w:r w:rsidR="00C92124">
        <w:t>.</w:t>
      </w:r>
      <w:r>
        <w:t xml:space="preserve"> </w:t>
      </w:r>
    </w:p>
    <w:p w:rsidR="00A30FF0" w:rsidRDefault="00A30FF0" w:rsidP="009A0439">
      <w:pPr>
        <w:pStyle w:val="Cuerpodeltexto"/>
        <w:rPr>
          <w:b/>
        </w:rPr>
      </w:pPr>
    </w:p>
    <w:p w:rsidR="00792354" w:rsidRDefault="00792354" w:rsidP="009A0439">
      <w:pPr>
        <w:pStyle w:val="Cuerpodeltexto"/>
        <w:rPr>
          <w:b/>
        </w:rPr>
      </w:pPr>
    </w:p>
    <w:p w:rsidR="00A366DD" w:rsidRDefault="00A366DD" w:rsidP="009A0439">
      <w:pPr>
        <w:pStyle w:val="Cuerpodeltexto"/>
        <w:rPr>
          <w:b/>
        </w:rPr>
      </w:pPr>
    </w:p>
    <w:p w:rsidR="00A366DD" w:rsidRDefault="00A366DD" w:rsidP="009A0439">
      <w:pPr>
        <w:pStyle w:val="Cuerpodeltexto"/>
        <w:rPr>
          <w:b/>
        </w:rPr>
      </w:pPr>
    </w:p>
    <w:p w:rsidR="005A44DA" w:rsidRDefault="00A30FF0" w:rsidP="009A0439">
      <w:pPr>
        <w:pStyle w:val="Cuerpodeltexto"/>
        <w:rPr>
          <w:b/>
        </w:rPr>
      </w:pPr>
      <w:r w:rsidRPr="003E6B00">
        <w:rPr>
          <w:b/>
        </w:rPr>
        <w:t>Estrategia 1.5 Instrumentar un esquema de administración de riesgos para los productores</w:t>
      </w:r>
      <w:r w:rsidR="00A17DD7">
        <w:rPr>
          <w:b/>
        </w:rPr>
        <w:t>.</w:t>
      </w:r>
    </w:p>
    <w:p w:rsidR="009A0439" w:rsidRDefault="009A0439" w:rsidP="009A0439">
      <w:pPr>
        <w:pStyle w:val="Cuerpodeltexto"/>
        <w:rPr>
          <w:b/>
        </w:rPr>
      </w:pPr>
    </w:p>
    <w:p w:rsidR="00A30FF0" w:rsidRDefault="00A30FF0" w:rsidP="009A0439">
      <w:pPr>
        <w:spacing w:before="120" w:after="120" w:line="220" w:lineRule="exact"/>
        <w:rPr>
          <w:szCs w:val="17"/>
          <w:lang w:eastAsia="es-MX"/>
        </w:rPr>
      </w:pPr>
      <w:r>
        <w:rPr>
          <w:szCs w:val="17"/>
          <w:lang w:eastAsia="es-MX"/>
        </w:rPr>
        <w:t>Durante</w:t>
      </w:r>
      <w:r w:rsidRPr="002235ED">
        <w:rPr>
          <w:szCs w:val="17"/>
          <w:lang w:eastAsia="es-MX"/>
        </w:rPr>
        <w:t xml:space="preserve"> 201</w:t>
      </w:r>
      <w:r>
        <w:rPr>
          <w:szCs w:val="17"/>
          <w:lang w:eastAsia="es-MX"/>
        </w:rPr>
        <w:t>7</w:t>
      </w:r>
      <w:r w:rsidRPr="002235ED">
        <w:rPr>
          <w:szCs w:val="17"/>
          <w:lang w:eastAsia="es-MX"/>
        </w:rPr>
        <w:t xml:space="preserve">, </w:t>
      </w:r>
      <w:r>
        <w:rPr>
          <w:szCs w:val="17"/>
          <w:lang w:eastAsia="es-MX"/>
        </w:rPr>
        <w:t xml:space="preserve">la FND incrementó su padrón de </w:t>
      </w:r>
      <w:r w:rsidRPr="002235ED">
        <w:rPr>
          <w:szCs w:val="17"/>
          <w:lang w:eastAsia="es-MX"/>
        </w:rPr>
        <w:t xml:space="preserve">fondos de aseguramiento agrícola y </w:t>
      </w:r>
      <w:r>
        <w:rPr>
          <w:szCs w:val="17"/>
          <w:lang w:eastAsia="es-MX"/>
        </w:rPr>
        <w:t>aseguradoras</w:t>
      </w:r>
      <w:r w:rsidRPr="002235ED">
        <w:rPr>
          <w:szCs w:val="17"/>
          <w:lang w:eastAsia="es-MX"/>
        </w:rPr>
        <w:t xml:space="preserve"> </w:t>
      </w:r>
      <w:r>
        <w:rPr>
          <w:szCs w:val="17"/>
          <w:lang w:eastAsia="es-MX"/>
        </w:rPr>
        <w:t>al contar con</w:t>
      </w:r>
      <w:r w:rsidRPr="002235ED">
        <w:rPr>
          <w:szCs w:val="17"/>
          <w:lang w:eastAsia="es-MX"/>
        </w:rPr>
        <w:t xml:space="preserve"> </w:t>
      </w:r>
      <w:r>
        <w:rPr>
          <w:szCs w:val="17"/>
          <w:lang w:eastAsia="es-MX"/>
        </w:rPr>
        <w:t>230</w:t>
      </w:r>
      <w:r w:rsidRPr="002235ED">
        <w:rPr>
          <w:szCs w:val="17"/>
          <w:lang w:eastAsia="es-MX"/>
        </w:rPr>
        <w:t xml:space="preserve"> opciones para aseguramiento. </w:t>
      </w:r>
    </w:p>
    <w:p w:rsidR="009A0439" w:rsidRDefault="009A0439" w:rsidP="009A0439">
      <w:pPr>
        <w:spacing w:before="120" w:after="120" w:line="220" w:lineRule="exact"/>
        <w:rPr>
          <w:szCs w:val="17"/>
          <w:lang w:eastAsia="es-MX"/>
        </w:rPr>
      </w:pPr>
    </w:p>
    <w:p w:rsidR="00A30FF0" w:rsidRDefault="00A30FF0" w:rsidP="009A0439">
      <w:pPr>
        <w:spacing w:before="120" w:after="120" w:line="220" w:lineRule="exact"/>
        <w:rPr>
          <w:szCs w:val="17"/>
          <w:lang w:eastAsia="es-MX"/>
        </w:rPr>
      </w:pPr>
      <w:r>
        <w:rPr>
          <w:szCs w:val="17"/>
          <w:lang w:eastAsia="es-MX"/>
        </w:rPr>
        <w:t xml:space="preserve">En este sentido, la FND continúa su participación activa en el </w:t>
      </w:r>
      <w:r w:rsidRPr="00541CF3">
        <w:rPr>
          <w:szCs w:val="17"/>
          <w:lang w:eastAsia="es-MX"/>
        </w:rPr>
        <w:t>Grupo de Trabajo del Seguro Agropecuario</w:t>
      </w:r>
      <w:r>
        <w:rPr>
          <w:szCs w:val="17"/>
          <w:lang w:eastAsia="es-MX"/>
        </w:rPr>
        <w:t xml:space="preserve"> con la finalidad de analizar las</w:t>
      </w:r>
      <w:r w:rsidRPr="00541CF3">
        <w:rPr>
          <w:szCs w:val="17"/>
          <w:lang w:eastAsia="es-MX"/>
        </w:rPr>
        <w:t xml:space="preserve"> necesidades de aseguramiento </w:t>
      </w:r>
      <w:r>
        <w:rPr>
          <w:szCs w:val="17"/>
          <w:lang w:eastAsia="es-MX"/>
        </w:rPr>
        <w:t>de los productores rurales.</w:t>
      </w:r>
    </w:p>
    <w:p w:rsidR="009A0439" w:rsidRDefault="009A0439" w:rsidP="009A0439">
      <w:pPr>
        <w:spacing w:before="120" w:after="120" w:line="220" w:lineRule="exact"/>
        <w:rPr>
          <w:szCs w:val="17"/>
          <w:lang w:eastAsia="es-MX"/>
        </w:rPr>
      </w:pPr>
    </w:p>
    <w:p w:rsidR="00A30FF0" w:rsidRDefault="00A30FF0" w:rsidP="009A0439">
      <w:pPr>
        <w:spacing w:before="120" w:after="120" w:line="220" w:lineRule="exact"/>
        <w:rPr>
          <w:szCs w:val="17"/>
          <w:lang w:eastAsia="es-MX"/>
        </w:rPr>
      </w:pPr>
      <w:r w:rsidRPr="002235ED">
        <w:rPr>
          <w:szCs w:val="17"/>
          <w:lang w:eastAsia="es-MX"/>
        </w:rPr>
        <w:t>En materia de coberturas</w:t>
      </w:r>
      <w:r>
        <w:rPr>
          <w:szCs w:val="17"/>
          <w:lang w:eastAsia="es-MX"/>
        </w:rPr>
        <w:t xml:space="preserve"> de precios</w:t>
      </w:r>
      <w:r w:rsidRPr="002235ED">
        <w:rPr>
          <w:szCs w:val="17"/>
          <w:lang w:eastAsia="es-MX"/>
        </w:rPr>
        <w:t>, se</w:t>
      </w:r>
      <w:r w:rsidRPr="00420937">
        <w:rPr>
          <w:szCs w:val="17"/>
          <w:lang w:eastAsia="es-MX"/>
        </w:rPr>
        <w:t xml:space="preserve"> realizaron </w:t>
      </w:r>
      <w:r>
        <w:rPr>
          <w:szCs w:val="17"/>
          <w:lang w:eastAsia="es-MX"/>
        </w:rPr>
        <w:t xml:space="preserve">diversos eventos de capacitación para la </w:t>
      </w:r>
      <w:r w:rsidRPr="00420937">
        <w:rPr>
          <w:szCs w:val="17"/>
          <w:lang w:eastAsia="es-MX"/>
        </w:rPr>
        <w:t xml:space="preserve">adquisición de </w:t>
      </w:r>
      <w:r>
        <w:rPr>
          <w:szCs w:val="17"/>
          <w:lang w:eastAsia="es-MX"/>
        </w:rPr>
        <w:t>estos mitigantes de riesgo con la participación de</w:t>
      </w:r>
      <w:r w:rsidRPr="00420937">
        <w:rPr>
          <w:szCs w:val="17"/>
          <w:lang w:eastAsia="es-MX"/>
        </w:rPr>
        <w:t xml:space="preserve"> personal de la FND, Empresas de Intermediación Financiera y productores.</w:t>
      </w:r>
    </w:p>
    <w:p w:rsidR="009A0439" w:rsidRDefault="009A0439" w:rsidP="009A0439">
      <w:pPr>
        <w:spacing w:before="120" w:after="120" w:line="220" w:lineRule="exact"/>
        <w:rPr>
          <w:szCs w:val="17"/>
          <w:lang w:eastAsia="es-MX"/>
        </w:rPr>
      </w:pPr>
    </w:p>
    <w:p w:rsidR="00A30FF0" w:rsidRDefault="00A30FF0" w:rsidP="009A0439">
      <w:pPr>
        <w:spacing w:before="120" w:after="120" w:line="220" w:lineRule="exact"/>
        <w:rPr>
          <w:szCs w:val="17"/>
          <w:lang w:eastAsia="es-MX"/>
        </w:rPr>
      </w:pPr>
      <w:r w:rsidRPr="00420937">
        <w:rPr>
          <w:szCs w:val="17"/>
          <w:lang w:eastAsia="es-MX"/>
        </w:rPr>
        <w:t>El padrón de corredurías</w:t>
      </w:r>
      <w:r>
        <w:rPr>
          <w:szCs w:val="17"/>
          <w:lang w:eastAsia="es-MX"/>
        </w:rPr>
        <w:t xml:space="preserve"> de precios</w:t>
      </w:r>
      <w:r w:rsidRPr="00420937">
        <w:rPr>
          <w:szCs w:val="17"/>
          <w:lang w:eastAsia="es-MX"/>
        </w:rPr>
        <w:t xml:space="preserve"> agreg</w:t>
      </w:r>
      <w:r>
        <w:rPr>
          <w:szCs w:val="17"/>
          <w:lang w:eastAsia="es-MX"/>
        </w:rPr>
        <w:t>ó</w:t>
      </w:r>
      <w:r w:rsidRPr="00420937">
        <w:rPr>
          <w:szCs w:val="17"/>
          <w:lang w:eastAsia="es-MX"/>
        </w:rPr>
        <w:t xml:space="preserve"> una opción para que los productores puedan elegir entre las 6 existentes.</w:t>
      </w:r>
    </w:p>
    <w:p w:rsidR="009A0439" w:rsidRDefault="009A0439" w:rsidP="009A0439">
      <w:pPr>
        <w:spacing w:before="120" w:after="120" w:line="220" w:lineRule="exact"/>
        <w:rPr>
          <w:szCs w:val="17"/>
          <w:lang w:eastAsia="es-MX"/>
        </w:rPr>
      </w:pPr>
    </w:p>
    <w:p w:rsidR="00A30FF0" w:rsidRDefault="00A30FF0" w:rsidP="009A0439">
      <w:pPr>
        <w:spacing w:before="120" w:after="120" w:line="220" w:lineRule="exact"/>
        <w:rPr>
          <w:szCs w:val="17"/>
          <w:lang w:eastAsia="es-MX"/>
        </w:rPr>
      </w:pPr>
      <w:r>
        <w:rPr>
          <w:szCs w:val="17"/>
          <w:lang w:eastAsia="es-MX"/>
        </w:rPr>
        <w:t>P</w:t>
      </w:r>
      <w:r w:rsidRPr="00676990">
        <w:rPr>
          <w:szCs w:val="17"/>
          <w:lang w:eastAsia="es-MX"/>
        </w:rPr>
        <w:t>ara atender situaciones de emergencia o desastres naturales</w:t>
      </w:r>
      <w:r>
        <w:rPr>
          <w:szCs w:val="17"/>
          <w:lang w:eastAsia="es-MX"/>
        </w:rPr>
        <w:t xml:space="preserve"> que se presenten,</w:t>
      </w:r>
      <w:r w:rsidRPr="002235ED">
        <w:t xml:space="preserve"> </w:t>
      </w:r>
      <w:r>
        <w:rPr>
          <w:szCs w:val="17"/>
          <w:lang w:eastAsia="es-MX"/>
        </w:rPr>
        <w:t>m</w:t>
      </w:r>
      <w:r w:rsidRPr="002235ED">
        <w:rPr>
          <w:szCs w:val="17"/>
          <w:lang w:eastAsia="es-MX"/>
        </w:rPr>
        <w:t>ediante el Programa</w:t>
      </w:r>
      <w:r w:rsidRPr="005D2372">
        <w:rPr>
          <w:szCs w:val="17"/>
          <w:lang w:eastAsia="es-MX"/>
        </w:rPr>
        <w:t xml:space="preserve"> </w:t>
      </w:r>
      <w:r w:rsidRPr="00676990">
        <w:rPr>
          <w:szCs w:val="17"/>
          <w:lang w:eastAsia="es-MX"/>
        </w:rPr>
        <w:t>FINAYUDA</w:t>
      </w:r>
      <w:r w:rsidRPr="002235ED">
        <w:rPr>
          <w:szCs w:val="17"/>
          <w:lang w:eastAsia="es-MX"/>
        </w:rPr>
        <w:t xml:space="preserve"> se cubre el 100% de la superficie del sector social vulnerable a las contingencias climatológicas, para proteger el trabajo y patrimonio de los productores agropecuarios</w:t>
      </w:r>
      <w:r>
        <w:rPr>
          <w:szCs w:val="17"/>
          <w:lang w:eastAsia="es-MX"/>
        </w:rPr>
        <w:t>.</w:t>
      </w:r>
    </w:p>
    <w:p w:rsidR="009A0439" w:rsidRDefault="009A0439" w:rsidP="009A0439">
      <w:pPr>
        <w:spacing w:before="120" w:after="120" w:line="220" w:lineRule="exact"/>
        <w:rPr>
          <w:szCs w:val="17"/>
          <w:lang w:eastAsia="es-MX"/>
        </w:rPr>
      </w:pPr>
    </w:p>
    <w:p w:rsidR="00A30FF0" w:rsidRDefault="00A30FF0" w:rsidP="009A0439">
      <w:pPr>
        <w:spacing w:before="120" w:after="120" w:line="220" w:lineRule="exact"/>
        <w:rPr>
          <w:rFonts w:cs="ACaslonPro-Regular"/>
          <w:szCs w:val="17"/>
          <w:lang w:val="es-ES_tradnl"/>
        </w:rPr>
      </w:pPr>
      <w:r w:rsidRPr="004451C2">
        <w:rPr>
          <w:szCs w:val="17"/>
          <w:lang w:eastAsia="es-MX"/>
        </w:rPr>
        <w:t xml:space="preserve">El </w:t>
      </w:r>
      <w:r>
        <w:rPr>
          <w:szCs w:val="17"/>
          <w:lang w:eastAsia="es-MX"/>
        </w:rPr>
        <w:t xml:space="preserve">Programa </w:t>
      </w:r>
      <w:r w:rsidRPr="004451C2">
        <w:rPr>
          <w:szCs w:val="17"/>
          <w:lang w:eastAsia="es-MX"/>
        </w:rPr>
        <w:t>FINAYUDA ha evolucionado significativamente</w:t>
      </w:r>
      <w:r>
        <w:rPr>
          <w:szCs w:val="17"/>
          <w:lang w:eastAsia="es-MX"/>
        </w:rPr>
        <w:t>, los c</w:t>
      </w:r>
      <w:r w:rsidRPr="004451C2">
        <w:rPr>
          <w:szCs w:val="17"/>
          <w:lang w:eastAsia="es-MX"/>
        </w:rPr>
        <w:t>ambios consistentes en su normativa de operación y procedimientos han incrementado su eficiencia y efica</w:t>
      </w:r>
      <w:r>
        <w:rPr>
          <w:szCs w:val="17"/>
          <w:lang w:eastAsia="es-MX"/>
        </w:rPr>
        <w:t>cia, destacando la activación de sus anexos: a) sismo, b) l</w:t>
      </w:r>
      <w:r w:rsidRPr="004451C2">
        <w:rPr>
          <w:szCs w:val="17"/>
          <w:lang w:eastAsia="es-MX"/>
        </w:rPr>
        <w:t xml:space="preserve">luvias severas, </w:t>
      </w:r>
      <w:r w:rsidR="0018577B">
        <w:rPr>
          <w:szCs w:val="17"/>
          <w:lang w:eastAsia="es-MX"/>
        </w:rPr>
        <w:t xml:space="preserve">c) </w:t>
      </w:r>
      <w:r>
        <w:rPr>
          <w:szCs w:val="17"/>
          <w:lang w:eastAsia="es-MX"/>
        </w:rPr>
        <w:t xml:space="preserve">huracanes </w:t>
      </w:r>
      <w:r w:rsidRPr="004451C2">
        <w:rPr>
          <w:szCs w:val="17"/>
          <w:lang w:eastAsia="es-MX"/>
        </w:rPr>
        <w:t>y</w:t>
      </w:r>
      <w:r>
        <w:rPr>
          <w:szCs w:val="17"/>
          <w:lang w:eastAsia="es-MX"/>
        </w:rPr>
        <w:t xml:space="preserve"> </w:t>
      </w:r>
      <w:r w:rsidR="0018577B">
        <w:rPr>
          <w:szCs w:val="17"/>
          <w:lang w:eastAsia="es-MX"/>
        </w:rPr>
        <w:t xml:space="preserve">d) </w:t>
      </w:r>
      <w:r>
        <w:rPr>
          <w:szCs w:val="17"/>
          <w:lang w:eastAsia="es-MX"/>
        </w:rPr>
        <w:t>h</w:t>
      </w:r>
      <w:r w:rsidRPr="004451C2">
        <w:rPr>
          <w:szCs w:val="17"/>
          <w:lang w:eastAsia="es-MX"/>
        </w:rPr>
        <w:t xml:space="preserve">eladas severas, establecidos como un instrumento para reactivar las actividades de los municipios afectados en respuesta a emergencias por desastres. </w:t>
      </w:r>
      <w:r>
        <w:br w:type="page"/>
      </w:r>
    </w:p>
    <w:p w:rsidR="00A30FF0" w:rsidRPr="00D56F45" w:rsidRDefault="00A30FF0" w:rsidP="00A30FF0">
      <w:pPr>
        <w:pStyle w:val="Cuerpodeltexto"/>
      </w:pPr>
    </w:p>
    <w:p w:rsidR="00A30FF0" w:rsidRDefault="00A30FF0" w:rsidP="00A30FF0">
      <w:pPr>
        <w:pStyle w:val="Cuerpodeltexto"/>
        <w:sectPr w:rsidR="00A30FF0" w:rsidSect="003C48DA">
          <w:footerReference w:type="even" r:id="rId12"/>
          <w:footerReference w:type="default" r:id="rId13"/>
          <w:type w:val="continuous"/>
          <w:pgSz w:w="12240" w:h="15840" w:code="1"/>
          <w:pgMar w:top="2268" w:right="1418" w:bottom="1134" w:left="1418" w:header="0" w:footer="567" w:gutter="0"/>
          <w:cols w:num="2" w:space="454"/>
          <w:docGrid w:linePitch="360"/>
        </w:sectPr>
      </w:pPr>
    </w:p>
    <w:p w:rsidR="00A30FF0" w:rsidRDefault="005A44DA" w:rsidP="005A44DA">
      <w:pPr>
        <w:pStyle w:val="TITULO5SECCIN"/>
      </w:pPr>
      <w:r>
        <w:t>Avance de los indicadores</w:t>
      </w:r>
    </w:p>
    <w:p w:rsidR="005A44DA" w:rsidRPr="005A44DA" w:rsidRDefault="005A44DA" w:rsidP="005A44DA"/>
    <w:tbl>
      <w:tblPr>
        <w:tblW w:w="9394" w:type="dxa"/>
        <w:jc w:val="center"/>
        <w:tblCellMar>
          <w:left w:w="70" w:type="dxa"/>
          <w:right w:w="70" w:type="dxa"/>
        </w:tblCellMar>
        <w:tblLook w:val="04A0" w:firstRow="1" w:lastRow="0" w:firstColumn="1" w:lastColumn="0" w:noHBand="0" w:noVBand="1"/>
      </w:tblPr>
      <w:tblGrid>
        <w:gridCol w:w="1674"/>
        <w:gridCol w:w="1148"/>
        <w:gridCol w:w="1021"/>
        <w:gridCol w:w="1109"/>
        <w:gridCol w:w="1034"/>
        <w:gridCol w:w="1069"/>
        <w:gridCol w:w="1111"/>
        <w:gridCol w:w="1228"/>
      </w:tblGrid>
      <w:tr w:rsidR="00A30FF0" w:rsidRPr="00951341" w:rsidTr="00590A31">
        <w:trPr>
          <w:trHeight w:val="288"/>
          <w:jc w:val="center"/>
        </w:trPr>
        <w:tc>
          <w:tcPr>
            <w:tcW w:w="1674" w:type="dxa"/>
            <w:tcBorders>
              <w:top w:val="single" w:sz="4" w:space="0" w:color="auto"/>
              <w:left w:val="single" w:sz="4" w:space="0" w:color="auto"/>
              <w:bottom w:val="single" w:sz="4" w:space="0" w:color="auto"/>
              <w:right w:val="single" w:sz="4" w:space="0" w:color="auto"/>
            </w:tcBorders>
            <w:shd w:val="clear" w:color="000000" w:fill="D9D9D9"/>
            <w:vAlign w:val="center"/>
            <w:hideMark/>
          </w:tcPr>
          <w:p w:rsidR="00A30FF0" w:rsidRPr="00951341" w:rsidRDefault="00A30FF0" w:rsidP="000F6ADC">
            <w:pPr>
              <w:spacing w:after="0" w:line="240" w:lineRule="auto"/>
              <w:jc w:val="center"/>
              <w:rPr>
                <w:rFonts w:eastAsia="Times New Roman"/>
                <w:b/>
                <w:bCs/>
                <w:color w:val="000000"/>
                <w:sz w:val="16"/>
                <w:szCs w:val="16"/>
                <w:lang w:eastAsia="es-MX"/>
              </w:rPr>
            </w:pPr>
            <w:r w:rsidRPr="00951341">
              <w:rPr>
                <w:rFonts w:eastAsia="Times New Roman" w:cs="ACaslonPro-Bold"/>
                <w:b/>
                <w:bCs/>
                <w:color w:val="000000"/>
                <w:sz w:val="16"/>
                <w:szCs w:val="16"/>
                <w:lang w:eastAsia="es-MX"/>
              </w:rPr>
              <w:t>Nombre</w:t>
            </w:r>
          </w:p>
        </w:tc>
        <w:tc>
          <w:tcPr>
            <w:tcW w:w="1148" w:type="dxa"/>
            <w:tcBorders>
              <w:top w:val="single" w:sz="4" w:space="0" w:color="auto"/>
              <w:left w:val="single" w:sz="4" w:space="0" w:color="auto"/>
              <w:bottom w:val="single" w:sz="4" w:space="0" w:color="auto"/>
              <w:right w:val="single" w:sz="4" w:space="0" w:color="auto"/>
            </w:tcBorders>
            <w:shd w:val="clear" w:color="000000" w:fill="D9D9D9"/>
            <w:vAlign w:val="center"/>
            <w:hideMark/>
          </w:tcPr>
          <w:p w:rsidR="00A30FF0" w:rsidRPr="00951341" w:rsidRDefault="00A30FF0" w:rsidP="000F6ADC">
            <w:pPr>
              <w:spacing w:after="0" w:line="240" w:lineRule="auto"/>
              <w:jc w:val="center"/>
              <w:rPr>
                <w:rFonts w:eastAsia="Times New Roman"/>
                <w:b/>
                <w:bCs/>
                <w:color w:val="000000"/>
                <w:sz w:val="16"/>
                <w:szCs w:val="16"/>
                <w:lang w:eastAsia="es-MX"/>
              </w:rPr>
            </w:pPr>
            <w:r w:rsidRPr="00951341">
              <w:rPr>
                <w:rFonts w:eastAsia="Times New Roman" w:cs="ACaslonPro-Bold"/>
                <w:b/>
                <w:bCs/>
                <w:color w:val="000000"/>
                <w:sz w:val="16"/>
                <w:szCs w:val="16"/>
                <w:lang w:eastAsia="es-MX"/>
              </w:rPr>
              <w:t>Línea base</w:t>
            </w:r>
          </w:p>
        </w:tc>
        <w:tc>
          <w:tcPr>
            <w:tcW w:w="1021" w:type="dxa"/>
            <w:tcBorders>
              <w:top w:val="single" w:sz="4" w:space="0" w:color="auto"/>
              <w:left w:val="single" w:sz="4" w:space="0" w:color="auto"/>
              <w:bottom w:val="single" w:sz="4" w:space="0" w:color="auto"/>
              <w:right w:val="single" w:sz="4" w:space="0" w:color="auto"/>
            </w:tcBorders>
            <w:shd w:val="clear" w:color="000000" w:fill="D9D9D9"/>
            <w:vAlign w:val="center"/>
            <w:hideMark/>
          </w:tcPr>
          <w:p w:rsidR="00A30FF0" w:rsidRPr="00951341" w:rsidRDefault="00A30FF0" w:rsidP="000F6ADC">
            <w:pPr>
              <w:spacing w:after="0" w:line="240" w:lineRule="auto"/>
              <w:jc w:val="center"/>
              <w:rPr>
                <w:rFonts w:eastAsia="Times New Roman"/>
                <w:b/>
                <w:bCs/>
                <w:color w:val="000000"/>
                <w:sz w:val="16"/>
                <w:szCs w:val="16"/>
                <w:lang w:eastAsia="es-MX"/>
              </w:rPr>
            </w:pPr>
            <w:r w:rsidRPr="00951341">
              <w:rPr>
                <w:rFonts w:eastAsia="Times New Roman" w:cs="ACaslonPro-Bold"/>
                <w:b/>
                <w:bCs/>
                <w:color w:val="000000"/>
                <w:sz w:val="16"/>
                <w:szCs w:val="16"/>
                <w:lang w:eastAsia="es-MX"/>
              </w:rPr>
              <w:t>2013</w:t>
            </w:r>
          </w:p>
        </w:tc>
        <w:tc>
          <w:tcPr>
            <w:tcW w:w="1109" w:type="dxa"/>
            <w:tcBorders>
              <w:top w:val="single" w:sz="4" w:space="0" w:color="auto"/>
              <w:left w:val="single" w:sz="4" w:space="0" w:color="auto"/>
              <w:bottom w:val="single" w:sz="4" w:space="0" w:color="auto"/>
              <w:right w:val="single" w:sz="4" w:space="0" w:color="auto"/>
            </w:tcBorders>
            <w:shd w:val="clear" w:color="000000" w:fill="D9D9D9"/>
            <w:vAlign w:val="center"/>
            <w:hideMark/>
          </w:tcPr>
          <w:p w:rsidR="00A30FF0" w:rsidRPr="00951341" w:rsidRDefault="00A30FF0" w:rsidP="000F6ADC">
            <w:pPr>
              <w:spacing w:after="0" w:line="240" w:lineRule="auto"/>
              <w:jc w:val="center"/>
              <w:rPr>
                <w:rFonts w:eastAsia="Times New Roman"/>
                <w:b/>
                <w:bCs/>
                <w:color w:val="000000"/>
                <w:sz w:val="16"/>
                <w:szCs w:val="16"/>
                <w:lang w:eastAsia="es-MX"/>
              </w:rPr>
            </w:pPr>
            <w:r w:rsidRPr="00951341">
              <w:rPr>
                <w:rFonts w:eastAsia="Times New Roman" w:cs="ACaslonPro-Bold"/>
                <w:b/>
                <w:bCs/>
                <w:color w:val="000000"/>
                <w:sz w:val="16"/>
                <w:szCs w:val="16"/>
                <w:lang w:eastAsia="es-MX"/>
              </w:rPr>
              <w:t>2014</w:t>
            </w:r>
          </w:p>
        </w:tc>
        <w:tc>
          <w:tcPr>
            <w:tcW w:w="1034" w:type="dxa"/>
            <w:tcBorders>
              <w:top w:val="single" w:sz="4" w:space="0" w:color="auto"/>
              <w:left w:val="single" w:sz="4" w:space="0" w:color="auto"/>
              <w:bottom w:val="single" w:sz="4" w:space="0" w:color="auto"/>
              <w:right w:val="single" w:sz="4" w:space="0" w:color="auto"/>
            </w:tcBorders>
            <w:shd w:val="clear" w:color="000000" w:fill="D9D9D9"/>
            <w:vAlign w:val="center"/>
            <w:hideMark/>
          </w:tcPr>
          <w:p w:rsidR="00A30FF0" w:rsidRPr="00951341" w:rsidRDefault="00A30FF0" w:rsidP="000F6ADC">
            <w:pPr>
              <w:spacing w:after="0" w:line="240" w:lineRule="auto"/>
              <w:jc w:val="center"/>
              <w:rPr>
                <w:rFonts w:eastAsia="Times New Roman"/>
                <w:b/>
                <w:bCs/>
                <w:color w:val="000000"/>
                <w:sz w:val="16"/>
                <w:szCs w:val="16"/>
                <w:lang w:eastAsia="es-MX"/>
              </w:rPr>
            </w:pPr>
            <w:r w:rsidRPr="00951341">
              <w:rPr>
                <w:rFonts w:eastAsia="Times New Roman" w:cs="ACaslonPro-Bold"/>
                <w:b/>
                <w:bCs/>
                <w:color w:val="000000"/>
                <w:sz w:val="16"/>
                <w:szCs w:val="16"/>
                <w:lang w:eastAsia="es-MX"/>
              </w:rPr>
              <w:t>2015</w:t>
            </w:r>
          </w:p>
        </w:tc>
        <w:tc>
          <w:tcPr>
            <w:tcW w:w="1069" w:type="dxa"/>
            <w:tcBorders>
              <w:top w:val="single" w:sz="4" w:space="0" w:color="auto"/>
              <w:left w:val="single" w:sz="4" w:space="0" w:color="auto"/>
              <w:bottom w:val="single" w:sz="4" w:space="0" w:color="auto"/>
              <w:right w:val="single" w:sz="4" w:space="0" w:color="auto"/>
            </w:tcBorders>
            <w:shd w:val="clear" w:color="000000" w:fill="D9D9D9"/>
            <w:vAlign w:val="center"/>
            <w:hideMark/>
          </w:tcPr>
          <w:p w:rsidR="00A30FF0" w:rsidRPr="00951341" w:rsidRDefault="00A30FF0" w:rsidP="000F6ADC">
            <w:pPr>
              <w:spacing w:after="0" w:line="240" w:lineRule="auto"/>
              <w:jc w:val="center"/>
              <w:rPr>
                <w:rFonts w:eastAsia="Times New Roman"/>
                <w:b/>
                <w:bCs/>
                <w:color w:val="000000"/>
                <w:sz w:val="16"/>
                <w:szCs w:val="16"/>
                <w:lang w:eastAsia="es-MX"/>
              </w:rPr>
            </w:pPr>
            <w:r w:rsidRPr="00951341">
              <w:rPr>
                <w:rFonts w:eastAsia="Times New Roman"/>
                <w:b/>
                <w:bCs/>
                <w:color w:val="000000"/>
                <w:sz w:val="16"/>
                <w:szCs w:val="16"/>
                <w:lang w:eastAsia="es-MX"/>
              </w:rPr>
              <w:t>2016</w:t>
            </w:r>
          </w:p>
        </w:tc>
        <w:tc>
          <w:tcPr>
            <w:tcW w:w="1111" w:type="dxa"/>
            <w:tcBorders>
              <w:top w:val="single" w:sz="4" w:space="0" w:color="auto"/>
              <w:left w:val="single" w:sz="4" w:space="0" w:color="auto"/>
              <w:bottom w:val="single" w:sz="4" w:space="0" w:color="auto"/>
              <w:right w:val="single" w:sz="4" w:space="0" w:color="auto"/>
            </w:tcBorders>
            <w:shd w:val="clear" w:color="000000" w:fill="D9D9D9"/>
            <w:vAlign w:val="center"/>
          </w:tcPr>
          <w:p w:rsidR="00A30FF0" w:rsidRPr="00951341" w:rsidRDefault="00A30FF0" w:rsidP="000F6ADC">
            <w:pPr>
              <w:spacing w:after="0" w:line="240" w:lineRule="auto"/>
              <w:jc w:val="center"/>
              <w:rPr>
                <w:rFonts w:eastAsia="Times New Roman" w:cs="ACaslonPro-Bold"/>
                <w:b/>
                <w:bCs/>
                <w:color w:val="000000"/>
                <w:sz w:val="16"/>
                <w:szCs w:val="16"/>
                <w:lang w:eastAsia="es-MX"/>
              </w:rPr>
            </w:pPr>
            <w:r>
              <w:rPr>
                <w:rFonts w:eastAsia="Times New Roman" w:cs="ACaslonPro-Bold"/>
                <w:b/>
                <w:bCs/>
                <w:color w:val="000000"/>
                <w:sz w:val="16"/>
                <w:szCs w:val="16"/>
                <w:lang w:eastAsia="es-MX"/>
              </w:rPr>
              <w:t>2017</w:t>
            </w:r>
          </w:p>
        </w:tc>
        <w:tc>
          <w:tcPr>
            <w:tcW w:w="1228" w:type="dxa"/>
            <w:tcBorders>
              <w:top w:val="single" w:sz="4" w:space="0" w:color="auto"/>
              <w:left w:val="single" w:sz="4" w:space="0" w:color="auto"/>
              <w:bottom w:val="single" w:sz="4" w:space="0" w:color="auto"/>
              <w:right w:val="single" w:sz="4" w:space="0" w:color="auto"/>
            </w:tcBorders>
            <w:shd w:val="clear" w:color="000000" w:fill="D9D9D9"/>
            <w:vAlign w:val="center"/>
            <w:hideMark/>
          </w:tcPr>
          <w:p w:rsidR="00A30FF0" w:rsidRPr="00951341" w:rsidRDefault="00A30FF0" w:rsidP="000F6ADC">
            <w:pPr>
              <w:spacing w:after="0" w:line="240" w:lineRule="auto"/>
              <w:jc w:val="center"/>
              <w:rPr>
                <w:rFonts w:eastAsia="Times New Roman"/>
                <w:b/>
                <w:bCs/>
                <w:color w:val="000000"/>
                <w:sz w:val="16"/>
                <w:szCs w:val="16"/>
                <w:lang w:eastAsia="es-MX"/>
              </w:rPr>
            </w:pPr>
            <w:r w:rsidRPr="00951341">
              <w:rPr>
                <w:rFonts w:eastAsia="Times New Roman" w:cs="ACaslonPro-Bold"/>
                <w:b/>
                <w:bCs/>
                <w:color w:val="000000"/>
                <w:sz w:val="16"/>
                <w:szCs w:val="16"/>
                <w:lang w:eastAsia="es-MX"/>
              </w:rPr>
              <w:t>Meta 2018</w:t>
            </w:r>
          </w:p>
        </w:tc>
      </w:tr>
      <w:tr w:rsidR="00A30FF0" w:rsidRPr="00951341" w:rsidTr="00590A31">
        <w:trPr>
          <w:trHeight w:val="1052"/>
          <w:jc w:val="center"/>
        </w:trPr>
        <w:tc>
          <w:tcPr>
            <w:tcW w:w="1674" w:type="dxa"/>
            <w:tcBorders>
              <w:top w:val="single" w:sz="4" w:space="0" w:color="auto"/>
              <w:left w:val="single" w:sz="4" w:space="0" w:color="auto"/>
              <w:bottom w:val="single" w:sz="4" w:space="0" w:color="auto"/>
              <w:right w:val="single" w:sz="4" w:space="0" w:color="auto"/>
            </w:tcBorders>
            <w:shd w:val="clear" w:color="auto" w:fill="auto"/>
            <w:vAlign w:val="center"/>
          </w:tcPr>
          <w:p w:rsidR="00A30FF0" w:rsidRDefault="00A30FF0" w:rsidP="000F6ADC">
            <w:pPr>
              <w:spacing w:after="0" w:line="240" w:lineRule="auto"/>
              <w:jc w:val="center"/>
              <w:rPr>
                <w:rFonts w:ascii="Soberana Sans" w:eastAsia="Times New Roman" w:hAnsi="Soberana Sans"/>
                <w:color w:val="000000"/>
                <w:sz w:val="16"/>
                <w:szCs w:val="16"/>
                <w:lang w:eastAsia="es-MX"/>
              </w:rPr>
            </w:pPr>
            <w:r w:rsidRPr="00951341">
              <w:rPr>
                <w:rFonts w:ascii="Soberana Sans" w:eastAsia="Times New Roman" w:hAnsi="Soberana Sans"/>
                <w:color w:val="000000"/>
                <w:sz w:val="16"/>
                <w:szCs w:val="16"/>
                <w:lang w:eastAsia="es-MX"/>
              </w:rPr>
              <w:t>Saldo de cart</w:t>
            </w:r>
            <w:r w:rsidR="001416E8">
              <w:rPr>
                <w:rFonts w:ascii="Soberana Sans" w:eastAsia="Times New Roman" w:hAnsi="Soberana Sans"/>
                <w:color w:val="000000"/>
                <w:sz w:val="16"/>
                <w:szCs w:val="16"/>
                <w:lang w:eastAsia="es-MX"/>
              </w:rPr>
              <w:t>era al cierre de cada ej</w:t>
            </w:r>
            <w:r>
              <w:rPr>
                <w:rFonts w:ascii="Soberana Sans" w:eastAsia="Times New Roman" w:hAnsi="Soberana Sans"/>
                <w:color w:val="000000"/>
                <w:sz w:val="16"/>
                <w:szCs w:val="16"/>
                <w:lang w:eastAsia="es-MX"/>
              </w:rPr>
              <w:t>ercicio.</w:t>
            </w:r>
            <w:r w:rsidRPr="00951341">
              <w:rPr>
                <w:rFonts w:ascii="Soberana Sans" w:eastAsia="Times New Roman" w:hAnsi="Soberana Sans"/>
                <w:color w:val="000000"/>
                <w:sz w:val="16"/>
                <w:szCs w:val="16"/>
                <w:lang w:eastAsia="es-MX"/>
              </w:rPr>
              <w:t>*</w:t>
            </w:r>
          </w:p>
          <w:p w:rsidR="00A30FF0" w:rsidRDefault="00A30FF0" w:rsidP="000F6ADC">
            <w:pPr>
              <w:spacing w:after="0" w:line="240" w:lineRule="auto"/>
              <w:jc w:val="center"/>
              <w:rPr>
                <w:rFonts w:ascii="Soberana Sans" w:eastAsia="Times New Roman" w:hAnsi="Soberana Sans"/>
                <w:color w:val="000000"/>
                <w:sz w:val="16"/>
                <w:szCs w:val="16"/>
                <w:lang w:eastAsia="es-MX"/>
              </w:rPr>
            </w:pPr>
          </w:p>
          <w:p w:rsidR="00A30FF0" w:rsidRPr="00951341" w:rsidRDefault="00A30FF0" w:rsidP="000F6ADC">
            <w:pPr>
              <w:spacing w:after="0" w:line="240" w:lineRule="auto"/>
              <w:jc w:val="center"/>
              <w:rPr>
                <w:rFonts w:ascii="Soberana Sans" w:eastAsia="Times New Roman" w:hAnsi="Soberana Sans"/>
                <w:color w:val="000000"/>
                <w:sz w:val="16"/>
                <w:szCs w:val="16"/>
                <w:lang w:eastAsia="es-MX"/>
              </w:rPr>
            </w:pPr>
            <w:r w:rsidRPr="00951341">
              <w:rPr>
                <w:rFonts w:ascii="Soberana Sans" w:eastAsia="Times New Roman" w:hAnsi="Soberana Sans"/>
                <w:color w:val="000000"/>
                <w:sz w:val="16"/>
                <w:szCs w:val="16"/>
                <w:lang w:eastAsia="es-MX"/>
              </w:rPr>
              <w:t>(Anual)</w:t>
            </w:r>
          </w:p>
        </w:tc>
        <w:tc>
          <w:tcPr>
            <w:tcW w:w="1148" w:type="dxa"/>
            <w:tcBorders>
              <w:top w:val="single" w:sz="4" w:space="0" w:color="auto"/>
              <w:left w:val="single" w:sz="4" w:space="0" w:color="auto"/>
              <w:bottom w:val="single" w:sz="4" w:space="0" w:color="auto"/>
              <w:right w:val="single" w:sz="4" w:space="0" w:color="auto"/>
            </w:tcBorders>
            <w:shd w:val="clear" w:color="auto" w:fill="auto"/>
            <w:vAlign w:val="center"/>
          </w:tcPr>
          <w:p w:rsidR="00A30FF0" w:rsidRDefault="00A30FF0" w:rsidP="000F6ADC">
            <w:pPr>
              <w:spacing w:after="0" w:line="240" w:lineRule="auto"/>
              <w:jc w:val="center"/>
              <w:rPr>
                <w:rFonts w:ascii="Soberana Sans" w:eastAsia="Times New Roman" w:hAnsi="Soberana Sans"/>
                <w:color w:val="000000"/>
                <w:sz w:val="16"/>
                <w:szCs w:val="16"/>
                <w:lang w:eastAsia="es-MX"/>
              </w:rPr>
            </w:pPr>
            <w:r w:rsidRPr="00951341">
              <w:rPr>
                <w:rFonts w:ascii="Soberana Sans" w:eastAsia="Times New Roman" w:hAnsi="Soberana Sans"/>
                <w:color w:val="000000"/>
                <w:sz w:val="16"/>
                <w:szCs w:val="16"/>
                <w:lang w:eastAsia="es-MX"/>
              </w:rPr>
              <w:t>$26,421</w:t>
            </w:r>
          </w:p>
          <w:p w:rsidR="00A30FF0" w:rsidRDefault="00A30FF0" w:rsidP="000F6ADC">
            <w:pPr>
              <w:spacing w:after="0" w:line="240" w:lineRule="auto"/>
              <w:jc w:val="center"/>
              <w:rPr>
                <w:rFonts w:ascii="Soberana Sans" w:eastAsia="Times New Roman" w:hAnsi="Soberana Sans"/>
                <w:color w:val="000000"/>
                <w:sz w:val="16"/>
                <w:szCs w:val="16"/>
                <w:lang w:eastAsia="es-MX"/>
              </w:rPr>
            </w:pPr>
          </w:p>
          <w:p w:rsidR="00A30FF0" w:rsidRDefault="00A30FF0" w:rsidP="000F6ADC">
            <w:pPr>
              <w:spacing w:after="0" w:line="240" w:lineRule="auto"/>
              <w:jc w:val="center"/>
              <w:rPr>
                <w:rFonts w:ascii="Soberana Sans" w:eastAsia="Times New Roman" w:hAnsi="Soberana Sans"/>
                <w:color w:val="000000"/>
                <w:sz w:val="16"/>
                <w:szCs w:val="16"/>
                <w:lang w:eastAsia="es-MX"/>
              </w:rPr>
            </w:pPr>
            <w:r>
              <w:rPr>
                <w:rFonts w:ascii="Soberana Sans" w:eastAsia="Times New Roman" w:hAnsi="Soberana Sans"/>
                <w:color w:val="000000"/>
                <w:sz w:val="16"/>
                <w:szCs w:val="16"/>
                <w:lang w:eastAsia="es-MX"/>
              </w:rPr>
              <w:t>(2013)</w:t>
            </w:r>
          </w:p>
          <w:p w:rsidR="00A30FF0" w:rsidRPr="00951341" w:rsidRDefault="00A30FF0" w:rsidP="000F6ADC">
            <w:pPr>
              <w:spacing w:after="0" w:line="240" w:lineRule="auto"/>
              <w:jc w:val="center"/>
              <w:rPr>
                <w:rFonts w:ascii="Soberana Sans" w:eastAsia="Times New Roman" w:hAnsi="Soberana Sans"/>
                <w:color w:val="000000"/>
                <w:sz w:val="16"/>
                <w:szCs w:val="16"/>
                <w:lang w:eastAsia="es-MX"/>
              </w:rPr>
            </w:pP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rsidR="00A30FF0" w:rsidRPr="00951341" w:rsidRDefault="00A30FF0" w:rsidP="000F6ADC">
            <w:pPr>
              <w:spacing w:after="0" w:line="240" w:lineRule="auto"/>
              <w:jc w:val="center"/>
              <w:rPr>
                <w:rFonts w:ascii="Soberana Sans" w:eastAsia="Times New Roman" w:hAnsi="Soberana Sans"/>
                <w:color w:val="000000"/>
                <w:sz w:val="16"/>
                <w:szCs w:val="16"/>
                <w:lang w:eastAsia="es-MX"/>
              </w:rPr>
            </w:pPr>
            <w:r w:rsidRPr="00951341">
              <w:rPr>
                <w:rFonts w:ascii="Soberana Sans" w:eastAsia="Times New Roman" w:hAnsi="Soberana Sans"/>
                <w:color w:val="000000"/>
                <w:sz w:val="16"/>
                <w:szCs w:val="16"/>
                <w:lang w:eastAsia="es-MX"/>
              </w:rPr>
              <w:t>N/A</w:t>
            </w:r>
          </w:p>
        </w:tc>
        <w:tc>
          <w:tcPr>
            <w:tcW w:w="1109" w:type="dxa"/>
            <w:tcBorders>
              <w:top w:val="single" w:sz="4" w:space="0" w:color="auto"/>
              <w:left w:val="single" w:sz="4" w:space="0" w:color="auto"/>
              <w:bottom w:val="single" w:sz="4" w:space="0" w:color="auto"/>
              <w:right w:val="single" w:sz="4" w:space="0" w:color="auto"/>
            </w:tcBorders>
            <w:shd w:val="clear" w:color="auto" w:fill="auto"/>
            <w:vAlign w:val="center"/>
          </w:tcPr>
          <w:p w:rsidR="00A30FF0" w:rsidRPr="00951341" w:rsidRDefault="00A30FF0" w:rsidP="000F6ADC">
            <w:pPr>
              <w:spacing w:after="0" w:line="240" w:lineRule="auto"/>
              <w:jc w:val="center"/>
              <w:rPr>
                <w:rFonts w:ascii="Soberana Sans" w:eastAsia="Times New Roman" w:hAnsi="Soberana Sans"/>
                <w:color w:val="000000"/>
                <w:sz w:val="16"/>
                <w:szCs w:val="16"/>
                <w:lang w:eastAsia="es-MX"/>
              </w:rPr>
            </w:pPr>
            <w:r w:rsidRPr="00951341">
              <w:rPr>
                <w:rFonts w:ascii="Soberana Sans" w:eastAsia="Times New Roman" w:hAnsi="Soberana Sans"/>
                <w:color w:val="000000"/>
                <w:sz w:val="16"/>
                <w:szCs w:val="16"/>
                <w:lang w:eastAsia="es-MX"/>
              </w:rPr>
              <w:t>$33,518</w:t>
            </w:r>
          </w:p>
        </w:tc>
        <w:tc>
          <w:tcPr>
            <w:tcW w:w="1034" w:type="dxa"/>
            <w:tcBorders>
              <w:top w:val="single" w:sz="4" w:space="0" w:color="auto"/>
              <w:left w:val="single" w:sz="4" w:space="0" w:color="auto"/>
              <w:bottom w:val="single" w:sz="4" w:space="0" w:color="auto"/>
              <w:right w:val="single" w:sz="4" w:space="0" w:color="auto"/>
            </w:tcBorders>
            <w:shd w:val="clear" w:color="auto" w:fill="auto"/>
            <w:vAlign w:val="center"/>
          </w:tcPr>
          <w:p w:rsidR="00A30FF0" w:rsidRPr="00951341" w:rsidRDefault="00A30FF0" w:rsidP="000F6ADC">
            <w:pPr>
              <w:spacing w:after="0" w:line="240" w:lineRule="auto"/>
              <w:jc w:val="center"/>
              <w:rPr>
                <w:rFonts w:ascii="Soberana Sans" w:eastAsia="Times New Roman" w:hAnsi="Soberana Sans"/>
                <w:color w:val="000000"/>
                <w:sz w:val="16"/>
                <w:szCs w:val="16"/>
                <w:lang w:eastAsia="es-MX"/>
              </w:rPr>
            </w:pPr>
            <w:r w:rsidRPr="00951341">
              <w:rPr>
                <w:rFonts w:ascii="Soberana Sans" w:eastAsia="Times New Roman" w:hAnsi="Soberana Sans"/>
                <w:color w:val="000000"/>
                <w:sz w:val="16"/>
                <w:szCs w:val="16"/>
                <w:lang w:eastAsia="es-MX"/>
              </w:rPr>
              <w:t>$41,365</w:t>
            </w:r>
          </w:p>
        </w:tc>
        <w:tc>
          <w:tcPr>
            <w:tcW w:w="1069" w:type="dxa"/>
            <w:tcBorders>
              <w:top w:val="single" w:sz="4" w:space="0" w:color="auto"/>
              <w:left w:val="single" w:sz="4" w:space="0" w:color="auto"/>
              <w:bottom w:val="single" w:sz="4" w:space="0" w:color="auto"/>
              <w:right w:val="single" w:sz="4" w:space="0" w:color="auto"/>
            </w:tcBorders>
            <w:shd w:val="clear" w:color="auto" w:fill="auto"/>
            <w:vAlign w:val="center"/>
          </w:tcPr>
          <w:p w:rsidR="00A30FF0" w:rsidRPr="00951341" w:rsidRDefault="00A30FF0" w:rsidP="000F6ADC">
            <w:pPr>
              <w:spacing w:after="0" w:line="240" w:lineRule="auto"/>
              <w:jc w:val="center"/>
              <w:rPr>
                <w:rFonts w:ascii="Soberana Sans" w:eastAsia="Times New Roman" w:hAnsi="Soberana Sans"/>
                <w:color w:val="000000"/>
                <w:sz w:val="16"/>
                <w:szCs w:val="16"/>
                <w:lang w:eastAsia="es-MX"/>
              </w:rPr>
            </w:pPr>
            <w:r w:rsidRPr="00951341">
              <w:rPr>
                <w:rFonts w:ascii="Soberana Sans" w:eastAsia="Times New Roman" w:hAnsi="Soberana Sans"/>
                <w:color w:val="000000"/>
                <w:sz w:val="16"/>
                <w:szCs w:val="16"/>
                <w:lang w:eastAsia="es-MX"/>
              </w:rPr>
              <w:t>$50,610</w:t>
            </w:r>
          </w:p>
        </w:tc>
        <w:tc>
          <w:tcPr>
            <w:tcW w:w="1111" w:type="dxa"/>
            <w:tcBorders>
              <w:top w:val="single" w:sz="4" w:space="0" w:color="auto"/>
              <w:left w:val="single" w:sz="4" w:space="0" w:color="auto"/>
              <w:bottom w:val="single" w:sz="4" w:space="0" w:color="auto"/>
              <w:right w:val="single" w:sz="4" w:space="0" w:color="auto"/>
            </w:tcBorders>
            <w:vAlign w:val="center"/>
          </w:tcPr>
          <w:p w:rsidR="00A30FF0" w:rsidRPr="00951341" w:rsidRDefault="00A30FF0" w:rsidP="000F6ADC">
            <w:pPr>
              <w:spacing w:after="0" w:line="240" w:lineRule="auto"/>
              <w:jc w:val="center"/>
              <w:rPr>
                <w:rFonts w:ascii="Soberana Sans" w:eastAsia="Times New Roman" w:hAnsi="Soberana Sans"/>
                <w:color w:val="000000"/>
                <w:sz w:val="16"/>
                <w:szCs w:val="16"/>
                <w:lang w:eastAsia="es-MX"/>
              </w:rPr>
            </w:pPr>
            <w:r>
              <w:rPr>
                <w:rFonts w:ascii="Soberana Sans" w:eastAsia="Times New Roman" w:hAnsi="Soberana Sans"/>
                <w:color w:val="000000"/>
                <w:sz w:val="16"/>
                <w:szCs w:val="16"/>
                <w:lang w:eastAsia="es-MX"/>
              </w:rPr>
              <w:t>$58,016</w:t>
            </w:r>
          </w:p>
        </w:tc>
        <w:tc>
          <w:tcPr>
            <w:tcW w:w="1228" w:type="dxa"/>
            <w:tcBorders>
              <w:top w:val="single" w:sz="4" w:space="0" w:color="auto"/>
              <w:left w:val="single" w:sz="4" w:space="0" w:color="auto"/>
              <w:bottom w:val="single" w:sz="4" w:space="0" w:color="auto"/>
              <w:right w:val="single" w:sz="4" w:space="0" w:color="auto"/>
            </w:tcBorders>
            <w:shd w:val="clear" w:color="auto" w:fill="auto"/>
            <w:vAlign w:val="center"/>
          </w:tcPr>
          <w:p w:rsidR="00A30FF0" w:rsidRPr="00951341" w:rsidRDefault="00A30FF0" w:rsidP="000F6ADC">
            <w:pPr>
              <w:spacing w:after="0" w:line="240" w:lineRule="auto"/>
              <w:jc w:val="center"/>
              <w:rPr>
                <w:rFonts w:ascii="Soberana Sans" w:eastAsia="Times New Roman" w:hAnsi="Soberana Sans"/>
                <w:color w:val="000000"/>
                <w:sz w:val="16"/>
                <w:szCs w:val="16"/>
                <w:lang w:eastAsia="es-MX"/>
              </w:rPr>
            </w:pPr>
            <w:r w:rsidRPr="00951341">
              <w:rPr>
                <w:rFonts w:ascii="Soberana Sans" w:eastAsia="Times New Roman" w:hAnsi="Soberana Sans"/>
                <w:color w:val="000000"/>
                <w:sz w:val="16"/>
                <w:szCs w:val="16"/>
                <w:lang w:eastAsia="es-MX"/>
              </w:rPr>
              <w:t>$50,000</w:t>
            </w:r>
          </w:p>
        </w:tc>
      </w:tr>
      <w:tr w:rsidR="00A30FF0" w:rsidRPr="00951341" w:rsidTr="00590A31">
        <w:trPr>
          <w:trHeight w:val="1068"/>
          <w:jc w:val="center"/>
        </w:trPr>
        <w:tc>
          <w:tcPr>
            <w:tcW w:w="1674" w:type="dxa"/>
            <w:tcBorders>
              <w:top w:val="single" w:sz="4" w:space="0" w:color="auto"/>
              <w:left w:val="single" w:sz="4" w:space="0" w:color="auto"/>
              <w:bottom w:val="single" w:sz="4" w:space="0" w:color="auto"/>
              <w:right w:val="single" w:sz="4" w:space="0" w:color="auto"/>
            </w:tcBorders>
            <w:shd w:val="clear" w:color="auto" w:fill="auto"/>
            <w:vAlign w:val="center"/>
          </w:tcPr>
          <w:p w:rsidR="00A30FF0" w:rsidRDefault="00A30FF0" w:rsidP="000F6ADC">
            <w:pPr>
              <w:spacing w:after="0" w:line="240" w:lineRule="auto"/>
              <w:jc w:val="center"/>
              <w:rPr>
                <w:rFonts w:ascii="Soberana Sans" w:eastAsia="Times New Roman" w:hAnsi="Soberana Sans"/>
                <w:color w:val="000000"/>
                <w:sz w:val="16"/>
                <w:szCs w:val="16"/>
                <w:lang w:eastAsia="es-MX"/>
              </w:rPr>
            </w:pPr>
            <w:r w:rsidRPr="00951341">
              <w:rPr>
                <w:rFonts w:ascii="Soberana Sans" w:eastAsia="Times New Roman" w:hAnsi="Soberana Sans"/>
                <w:color w:val="000000"/>
                <w:sz w:val="16"/>
                <w:szCs w:val="16"/>
                <w:lang w:eastAsia="es-MX"/>
              </w:rPr>
              <w:t>Oportunida</w:t>
            </w:r>
            <w:r>
              <w:rPr>
                <w:rFonts w:ascii="Soberana Sans" w:eastAsia="Times New Roman" w:hAnsi="Soberana Sans"/>
                <w:color w:val="000000"/>
                <w:sz w:val="16"/>
                <w:szCs w:val="16"/>
                <w:lang w:eastAsia="es-MX"/>
              </w:rPr>
              <w:t>d en la atención a los clientes.</w:t>
            </w:r>
          </w:p>
          <w:p w:rsidR="00A30FF0" w:rsidRDefault="00A30FF0" w:rsidP="000F6ADC">
            <w:pPr>
              <w:spacing w:after="0" w:line="240" w:lineRule="auto"/>
              <w:jc w:val="center"/>
              <w:rPr>
                <w:rFonts w:ascii="Soberana Sans" w:eastAsia="Times New Roman" w:hAnsi="Soberana Sans"/>
                <w:color w:val="000000"/>
                <w:sz w:val="16"/>
                <w:szCs w:val="16"/>
                <w:lang w:eastAsia="es-MX"/>
              </w:rPr>
            </w:pPr>
          </w:p>
          <w:p w:rsidR="00A30FF0" w:rsidRPr="00951341" w:rsidRDefault="00A30FF0" w:rsidP="000F6ADC">
            <w:pPr>
              <w:spacing w:after="0" w:line="240" w:lineRule="auto"/>
              <w:jc w:val="center"/>
              <w:rPr>
                <w:rFonts w:ascii="Soberana Sans" w:eastAsia="Times New Roman" w:hAnsi="Soberana Sans"/>
                <w:color w:val="000000"/>
                <w:sz w:val="16"/>
                <w:szCs w:val="16"/>
                <w:lang w:eastAsia="es-MX"/>
              </w:rPr>
            </w:pPr>
            <w:r>
              <w:rPr>
                <w:rFonts w:ascii="Soberana Sans" w:eastAsia="Times New Roman" w:hAnsi="Soberana Sans"/>
                <w:color w:val="000000"/>
                <w:sz w:val="16"/>
                <w:szCs w:val="16"/>
                <w:lang w:eastAsia="es-MX"/>
              </w:rPr>
              <w:t>(Anual)</w:t>
            </w:r>
          </w:p>
        </w:tc>
        <w:tc>
          <w:tcPr>
            <w:tcW w:w="1148" w:type="dxa"/>
            <w:tcBorders>
              <w:top w:val="single" w:sz="4" w:space="0" w:color="auto"/>
              <w:left w:val="single" w:sz="4" w:space="0" w:color="auto"/>
              <w:bottom w:val="single" w:sz="4" w:space="0" w:color="auto"/>
              <w:right w:val="single" w:sz="4" w:space="0" w:color="auto"/>
            </w:tcBorders>
            <w:shd w:val="clear" w:color="auto" w:fill="auto"/>
            <w:vAlign w:val="center"/>
          </w:tcPr>
          <w:p w:rsidR="00A30FF0" w:rsidRDefault="00A30FF0" w:rsidP="000F6ADC">
            <w:pPr>
              <w:spacing w:after="0" w:line="240" w:lineRule="auto"/>
              <w:jc w:val="center"/>
              <w:rPr>
                <w:rFonts w:ascii="Soberana Sans" w:eastAsia="Times New Roman" w:hAnsi="Soberana Sans"/>
                <w:color w:val="000000"/>
                <w:sz w:val="16"/>
                <w:szCs w:val="16"/>
                <w:lang w:eastAsia="es-MX"/>
              </w:rPr>
            </w:pPr>
            <w:r>
              <w:rPr>
                <w:rFonts w:ascii="Soberana Sans" w:eastAsia="Times New Roman" w:hAnsi="Soberana Sans"/>
                <w:color w:val="000000"/>
                <w:sz w:val="16"/>
                <w:szCs w:val="16"/>
                <w:lang w:eastAsia="es-MX"/>
              </w:rPr>
              <w:t>100%</w:t>
            </w:r>
          </w:p>
          <w:p w:rsidR="00A30FF0" w:rsidRDefault="00A30FF0" w:rsidP="000F6ADC">
            <w:pPr>
              <w:spacing w:after="0" w:line="240" w:lineRule="auto"/>
              <w:jc w:val="center"/>
              <w:rPr>
                <w:rFonts w:ascii="Soberana Sans" w:eastAsia="Times New Roman" w:hAnsi="Soberana Sans"/>
                <w:color w:val="000000"/>
                <w:sz w:val="16"/>
                <w:szCs w:val="16"/>
                <w:lang w:eastAsia="es-MX"/>
              </w:rPr>
            </w:pPr>
          </w:p>
          <w:p w:rsidR="00A30FF0" w:rsidRDefault="00A30FF0" w:rsidP="000F6ADC">
            <w:pPr>
              <w:spacing w:after="0" w:line="240" w:lineRule="auto"/>
              <w:jc w:val="center"/>
              <w:rPr>
                <w:rFonts w:ascii="Soberana Sans" w:eastAsia="Times New Roman" w:hAnsi="Soberana Sans"/>
                <w:color w:val="000000"/>
                <w:sz w:val="16"/>
                <w:szCs w:val="16"/>
                <w:lang w:eastAsia="es-MX"/>
              </w:rPr>
            </w:pPr>
            <w:r>
              <w:rPr>
                <w:rFonts w:ascii="Soberana Sans" w:eastAsia="Times New Roman" w:hAnsi="Soberana Sans"/>
                <w:color w:val="000000"/>
                <w:sz w:val="16"/>
                <w:szCs w:val="16"/>
                <w:lang w:eastAsia="es-MX"/>
              </w:rPr>
              <w:t>(2013)</w:t>
            </w:r>
          </w:p>
          <w:p w:rsidR="00A30FF0" w:rsidRDefault="00A30FF0" w:rsidP="000F6ADC">
            <w:pPr>
              <w:spacing w:after="0" w:line="240" w:lineRule="auto"/>
              <w:jc w:val="center"/>
              <w:rPr>
                <w:rFonts w:ascii="Soberana Sans" w:eastAsia="Times New Roman" w:hAnsi="Soberana Sans"/>
                <w:color w:val="000000"/>
                <w:sz w:val="16"/>
                <w:szCs w:val="16"/>
                <w:lang w:eastAsia="es-MX"/>
              </w:rPr>
            </w:pPr>
          </w:p>
        </w:tc>
        <w:tc>
          <w:tcPr>
            <w:tcW w:w="1021" w:type="dxa"/>
            <w:tcBorders>
              <w:top w:val="single" w:sz="4" w:space="0" w:color="auto"/>
              <w:left w:val="single" w:sz="4" w:space="0" w:color="auto"/>
              <w:bottom w:val="single" w:sz="4" w:space="0" w:color="auto"/>
              <w:right w:val="single" w:sz="4" w:space="0" w:color="auto"/>
            </w:tcBorders>
            <w:shd w:val="clear" w:color="auto" w:fill="auto"/>
            <w:vAlign w:val="center"/>
          </w:tcPr>
          <w:p w:rsidR="00A30FF0" w:rsidRPr="00951341" w:rsidRDefault="00A30FF0" w:rsidP="000F6ADC">
            <w:pPr>
              <w:spacing w:after="0" w:line="240" w:lineRule="auto"/>
              <w:jc w:val="center"/>
              <w:rPr>
                <w:rFonts w:ascii="Soberana Sans" w:eastAsia="Times New Roman" w:hAnsi="Soberana Sans"/>
                <w:color w:val="000000"/>
                <w:sz w:val="16"/>
                <w:szCs w:val="16"/>
                <w:lang w:eastAsia="es-MX"/>
              </w:rPr>
            </w:pPr>
            <w:r w:rsidRPr="00951341">
              <w:rPr>
                <w:rFonts w:ascii="Soberana Sans" w:eastAsia="Times New Roman" w:hAnsi="Soberana Sans"/>
                <w:color w:val="000000"/>
                <w:sz w:val="16"/>
                <w:szCs w:val="16"/>
                <w:lang w:eastAsia="es-MX"/>
              </w:rPr>
              <w:t>N/A</w:t>
            </w:r>
          </w:p>
        </w:tc>
        <w:tc>
          <w:tcPr>
            <w:tcW w:w="1109" w:type="dxa"/>
            <w:tcBorders>
              <w:top w:val="single" w:sz="4" w:space="0" w:color="auto"/>
              <w:left w:val="single" w:sz="4" w:space="0" w:color="auto"/>
              <w:bottom w:val="single" w:sz="4" w:space="0" w:color="auto"/>
              <w:right w:val="single" w:sz="4" w:space="0" w:color="auto"/>
            </w:tcBorders>
            <w:shd w:val="clear" w:color="auto" w:fill="auto"/>
            <w:vAlign w:val="center"/>
          </w:tcPr>
          <w:p w:rsidR="00A30FF0" w:rsidRPr="00951341" w:rsidRDefault="00A30FF0" w:rsidP="000F6ADC">
            <w:pPr>
              <w:spacing w:after="0" w:line="240" w:lineRule="auto"/>
              <w:jc w:val="center"/>
              <w:rPr>
                <w:rFonts w:ascii="Soberana Sans" w:eastAsia="Times New Roman" w:hAnsi="Soberana Sans"/>
                <w:color w:val="000000"/>
                <w:sz w:val="16"/>
                <w:szCs w:val="16"/>
                <w:lang w:eastAsia="es-MX"/>
              </w:rPr>
            </w:pPr>
            <w:r w:rsidRPr="00951341">
              <w:rPr>
                <w:rFonts w:ascii="Soberana Sans" w:eastAsia="Times New Roman" w:hAnsi="Soberana Sans"/>
                <w:color w:val="000000"/>
                <w:sz w:val="16"/>
                <w:szCs w:val="16"/>
                <w:lang w:eastAsia="es-MX"/>
              </w:rPr>
              <w:t>98.20%</w:t>
            </w:r>
          </w:p>
        </w:tc>
        <w:tc>
          <w:tcPr>
            <w:tcW w:w="1034" w:type="dxa"/>
            <w:tcBorders>
              <w:top w:val="single" w:sz="4" w:space="0" w:color="auto"/>
              <w:left w:val="single" w:sz="4" w:space="0" w:color="auto"/>
              <w:bottom w:val="single" w:sz="4" w:space="0" w:color="auto"/>
              <w:right w:val="single" w:sz="4" w:space="0" w:color="auto"/>
            </w:tcBorders>
            <w:shd w:val="clear" w:color="auto" w:fill="auto"/>
            <w:vAlign w:val="center"/>
          </w:tcPr>
          <w:p w:rsidR="00A30FF0" w:rsidRPr="00951341" w:rsidRDefault="00A30FF0" w:rsidP="000F6ADC">
            <w:pPr>
              <w:spacing w:after="0" w:line="240" w:lineRule="auto"/>
              <w:jc w:val="center"/>
              <w:rPr>
                <w:rFonts w:ascii="Soberana Sans" w:eastAsia="Times New Roman" w:hAnsi="Soberana Sans"/>
                <w:color w:val="000000"/>
                <w:sz w:val="16"/>
                <w:szCs w:val="16"/>
                <w:lang w:eastAsia="es-MX"/>
              </w:rPr>
            </w:pPr>
            <w:r w:rsidRPr="00951341">
              <w:rPr>
                <w:rFonts w:ascii="Soberana Sans" w:eastAsia="Times New Roman" w:hAnsi="Soberana Sans"/>
                <w:color w:val="000000"/>
                <w:sz w:val="16"/>
                <w:szCs w:val="16"/>
                <w:lang w:eastAsia="es-MX"/>
              </w:rPr>
              <w:t>109.00%</w:t>
            </w:r>
          </w:p>
        </w:tc>
        <w:tc>
          <w:tcPr>
            <w:tcW w:w="1069" w:type="dxa"/>
            <w:tcBorders>
              <w:top w:val="single" w:sz="4" w:space="0" w:color="auto"/>
              <w:left w:val="single" w:sz="4" w:space="0" w:color="auto"/>
              <w:bottom w:val="single" w:sz="4" w:space="0" w:color="auto"/>
              <w:right w:val="single" w:sz="4" w:space="0" w:color="auto"/>
            </w:tcBorders>
            <w:shd w:val="clear" w:color="auto" w:fill="auto"/>
            <w:vAlign w:val="center"/>
          </w:tcPr>
          <w:p w:rsidR="00A30FF0" w:rsidRPr="00951341" w:rsidRDefault="00A30FF0" w:rsidP="000F6ADC">
            <w:pPr>
              <w:spacing w:after="0" w:line="240" w:lineRule="auto"/>
              <w:jc w:val="center"/>
              <w:rPr>
                <w:rFonts w:ascii="Soberana Sans" w:eastAsia="Times New Roman" w:hAnsi="Soberana Sans"/>
                <w:color w:val="000000"/>
                <w:sz w:val="16"/>
                <w:szCs w:val="16"/>
                <w:lang w:eastAsia="es-MX"/>
              </w:rPr>
            </w:pPr>
            <w:r w:rsidRPr="00951341">
              <w:rPr>
                <w:rFonts w:ascii="Soberana Sans" w:eastAsia="Times New Roman" w:hAnsi="Soberana Sans"/>
                <w:color w:val="000000"/>
                <w:sz w:val="16"/>
                <w:szCs w:val="16"/>
                <w:lang w:eastAsia="es-MX"/>
              </w:rPr>
              <w:t>88.3%</w:t>
            </w:r>
          </w:p>
        </w:tc>
        <w:tc>
          <w:tcPr>
            <w:tcW w:w="1111" w:type="dxa"/>
            <w:tcBorders>
              <w:top w:val="single" w:sz="4" w:space="0" w:color="auto"/>
              <w:left w:val="single" w:sz="4" w:space="0" w:color="auto"/>
              <w:bottom w:val="single" w:sz="4" w:space="0" w:color="auto"/>
              <w:right w:val="single" w:sz="4" w:space="0" w:color="auto"/>
            </w:tcBorders>
            <w:vAlign w:val="center"/>
          </w:tcPr>
          <w:p w:rsidR="00A30FF0" w:rsidRPr="00951341" w:rsidRDefault="00A30FF0" w:rsidP="000F6ADC">
            <w:pPr>
              <w:spacing w:after="0" w:line="240" w:lineRule="auto"/>
              <w:jc w:val="center"/>
              <w:rPr>
                <w:rFonts w:ascii="Soberana Sans" w:eastAsia="Times New Roman" w:hAnsi="Soberana Sans"/>
                <w:color w:val="000000"/>
                <w:sz w:val="16"/>
                <w:szCs w:val="16"/>
                <w:lang w:eastAsia="es-MX"/>
              </w:rPr>
            </w:pPr>
            <w:r>
              <w:rPr>
                <w:rFonts w:ascii="Soberana Sans" w:eastAsia="Times New Roman" w:hAnsi="Soberana Sans"/>
                <w:color w:val="000000"/>
                <w:sz w:val="16"/>
                <w:szCs w:val="16"/>
                <w:lang w:eastAsia="es-MX"/>
              </w:rPr>
              <w:t>76.5%</w:t>
            </w:r>
          </w:p>
        </w:tc>
        <w:tc>
          <w:tcPr>
            <w:tcW w:w="1228" w:type="dxa"/>
            <w:tcBorders>
              <w:top w:val="single" w:sz="4" w:space="0" w:color="auto"/>
              <w:left w:val="single" w:sz="4" w:space="0" w:color="auto"/>
              <w:bottom w:val="single" w:sz="4" w:space="0" w:color="auto"/>
              <w:right w:val="single" w:sz="4" w:space="0" w:color="auto"/>
            </w:tcBorders>
            <w:shd w:val="clear" w:color="auto" w:fill="auto"/>
            <w:vAlign w:val="center"/>
          </w:tcPr>
          <w:p w:rsidR="00A30FF0" w:rsidRPr="00951341" w:rsidRDefault="00A30FF0" w:rsidP="000F6ADC">
            <w:pPr>
              <w:spacing w:after="0" w:line="240" w:lineRule="auto"/>
              <w:jc w:val="center"/>
              <w:rPr>
                <w:rFonts w:ascii="Soberana Sans" w:eastAsia="Times New Roman" w:hAnsi="Soberana Sans"/>
                <w:color w:val="000000"/>
                <w:sz w:val="16"/>
                <w:szCs w:val="16"/>
                <w:lang w:eastAsia="es-MX"/>
              </w:rPr>
            </w:pPr>
            <w:r w:rsidRPr="00951341">
              <w:rPr>
                <w:rFonts w:ascii="Soberana Sans" w:eastAsia="Times New Roman" w:hAnsi="Soberana Sans"/>
                <w:color w:val="000000"/>
                <w:sz w:val="16"/>
                <w:szCs w:val="16"/>
                <w:lang w:eastAsia="es-MX"/>
              </w:rPr>
              <w:t>85%</w:t>
            </w:r>
          </w:p>
        </w:tc>
      </w:tr>
    </w:tbl>
    <w:p w:rsidR="00A30FF0" w:rsidRDefault="00A30FF0" w:rsidP="00A30FF0">
      <w:pPr>
        <w:spacing w:after="0" w:line="240" w:lineRule="auto"/>
        <w:rPr>
          <w:lang w:val="es-ES_tradnl"/>
        </w:rPr>
      </w:pPr>
      <w:r w:rsidRPr="00676990">
        <w:rPr>
          <w:lang w:val="es-ES_tradnl"/>
        </w:rPr>
        <w:t>Nota:</w:t>
      </w:r>
    </w:p>
    <w:p w:rsidR="00A30FF0" w:rsidRPr="00676990" w:rsidRDefault="00A30FF0" w:rsidP="00A30FF0">
      <w:pPr>
        <w:spacing w:after="0" w:line="240" w:lineRule="auto"/>
        <w:rPr>
          <w:lang w:val="es-ES_tradnl"/>
        </w:rPr>
      </w:pPr>
      <w:r>
        <w:rPr>
          <w:lang w:val="es-ES_tradnl"/>
        </w:rPr>
        <w:t>* Millones de pesos.</w:t>
      </w:r>
    </w:p>
    <w:p w:rsidR="00A30FF0" w:rsidRPr="00B27353" w:rsidRDefault="00A30FF0" w:rsidP="00A30FF0">
      <w:pPr>
        <w:spacing w:after="0" w:line="240" w:lineRule="auto"/>
        <w:rPr>
          <w:lang w:val="es-ES_tradnl"/>
        </w:rPr>
      </w:pPr>
      <w:r>
        <w:rPr>
          <w:lang w:val="es-ES_tradnl"/>
        </w:rPr>
        <w:t>-</w:t>
      </w:r>
      <w:r w:rsidRPr="00B27353">
        <w:rPr>
          <w:lang w:val="es-ES_tradnl"/>
        </w:rPr>
        <w:t xml:space="preserve"> NA: No aplica, en tanto que, derivado del año de la línea base y la frecuencia de medición del indicador, no corresponde reportar valor observado del indicador para este año.</w:t>
      </w:r>
    </w:p>
    <w:p w:rsidR="00A30FF0" w:rsidRDefault="00A30FF0" w:rsidP="00A30FF0">
      <w:pPr>
        <w:spacing w:after="0" w:line="240" w:lineRule="auto"/>
        <w:rPr>
          <w:lang w:val="es-ES_tradnl"/>
        </w:rPr>
      </w:pPr>
    </w:p>
    <w:p w:rsidR="00A30FF0" w:rsidRDefault="00A30FF0" w:rsidP="00A30FF0">
      <w:pPr>
        <w:spacing w:after="0" w:line="240" w:lineRule="auto"/>
        <w:rPr>
          <w:lang w:val="es-ES_tradnl"/>
        </w:rPr>
      </w:pPr>
    </w:p>
    <w:p w:rsidR="00A30FF0" w:rsidRDefault="00A30FF0" w:rsidP="00A30FF0">
      <w:pPr>
        <w:spacing w:after="0" w:line="240" w:lineRule="auto"/>
        <w:rPr>
          <w:lang w:val="es-ES_tradnl"/>
        </w:rPr>
      </w:pPr>
    </w:p>
    <w:p w:rsidR="00A30FF0" w:rsidRDefault="00A30FF0" w:rsidP="00A30FF0">
      <w:pPr>
        <w:spacing w:after="0" w:line="240" w:lineRule="auto"/>
        <w:rPr>
          <w:lang w:val="es-ES_tradnl"/>
        </w:rPr>
      </w:pPr>
    </w:p>
    <w:p w:rsidR="00A30FF0" w:rsidRDefault="00A30FF0" w:rsidP="00A30FF0">
      <w:pPr>
        <w:spacing w:after="0" w:line="240" w:lineRule="auto"/>
        <w:rPr>
          <w:lang w:val="es-ES_tradnl"/>
        </w:rPr>
      </w:pPr>
    </w:p>
    <w:p w:rsidR="00A30FF0" w:rsidRDefault="00A30FF0" w:rsidP="00A30FF0">
      <w:pPr>
        <w:spacing w:after="0" w:line="240" w:lineRule="auto"/>
        <w:rPr>
          <w:lang w:val="es-ES_tradnl"/>
        </w:rPr>
      </w:pPr>
    </w:p>
    <w:p w:rsidR="00A30FF0" w:rsidRDefault="00A30FF0" w:rsidP="00A30FF0">
      <w:pPr>
        <w:spacing w:after="0" w:line="240" w:lineRule="auto"/>
        <w:rPr>
          <w:lang w:val="es-ES_tradnl"/>
        </w:rPr>
      </w:pPr>
    </w:p>
    <w:p w:rsidR="00A30FF0" w:rsidRDefault="00A30FF0" w:rsidP="00A30FF0">
      <w:pPr>
        <w:spacing w:after="0" w:line="240" w:lineRule="auto"/>
        <w:rPr>
          <w:lang w:val="es-ES_tradnl"/>
        </w:rPr>
      </w:pPr>
    </w:p>
    <w:p w:rsidR="00A30FF0" w:rsidRDefault="00A30FF0" w:rsidP="00A30FF0">
      <w:pPr>
        <w:spacing w:after="0" w:line="240" w:lineRule="auto"/>
        <w:rPr>
          <w:lang w:val="es-ES_tradnl"/>
        </w:rPr>
      </w:pPr>
    </w:p>
    <w:p w:rsidR="00A30FF0" w:rsidRDefault="00A30FF0" w:rsidP="00A30FF0">
      <w:pPr>
        <w:spacing w:after="0" w:line="240" w:lineRule="auto"/>
        <w:rPr>
          <w:lang w:val="es-ES_tradnl"/>
        </w:rPr>
      </w:pPr>
    </w:p>
    <w:p w:rsidR="00A30FF0" w:rsidRDefault="00A30FF0" w:rsidP="00A30FF0">
      <w:pPr>
        <w:spacing w:after="0" w:line="240" w:lineRule="auto"/>
        <w:rPr>
          <w:lang w:val="es-ES_tradnl"/>
        </w:rPr>
      </w:pPr>
    </w:p>
    <w:p w:rsidR="00A30FF0" w:rsidRDefault="00A30FF0" w:rsidP="00A30FF0">
      <w:pPr>
        <w:spacing w:after="0" w:line="240" w:lineRule="auto"/>
        <w:rPr>
          <w:lang w:val="es-ES_tradnl"/>
        </w:rPr>
      </w:pPr>
    </w:p>
    <w:p w:rsidR="00A30FF0" w:rsidRDefault="00A30FF0" w:rsidP="00A30FF0">
      <w:pPr>
        <w:spacing w:after="0" w:line="240" w:lineRule="auto"/>
        <w:rPr>
          <w:lang w:val="es-ES_tradnl"/>
        </w:rPr>
      </w:pPr>
    </w:p>
    <w:p w:rsidR="00A30FF0" w:rsidRDefault="00A30FF0" w:rsidP="00A30FF0">
      <w:pPr>
        <w:spacing w:after="0" w:line="240" w:lineRule="auto"/>
        <w:rPr>
          <w:lang w:val="es-ES_tradnl"/>
        </w:rPr>
      </w:pPr>
    </w:p>
    <w:p w:rsidR="00A30FF0" w:rsidRDefault="00A30FF0" w:rsidP="00A30FF0">
      <w:pPr>
        <w:spacing w:after="0" w:line="240" w:lineRule="auto"/>
        <w:rPr>
          <w:lang w:val="es-ES_tradnl"/>
        </w:rPr>
      </w:pPr>
    </w:p>
    <w:p w:rsidR="00A30FF0" w:rsidRDefault="00A30FF0" w:rsidP="00A30FF0">
      <w:pPr>
        <w:spacing w:after="0" w:line="240" w:lineRule="auto"/>
        <w:rPr>
          <w:lang w:val="es-ES_tradnl"/>
        </w:rPr>
      </w:pPr>
    </w:p>
    <w:p w:rsidR="00A30FF0" w:rsidRDefault="00A30FF0" w:rsidP="00A30FF0">
      <w:pPr>
        <w:spacing w:after="0" w:line="240" w:lineRule="auto"/>
        <w:rPr>
          <w:lang w:val="es-ES_tradnl"/>
        </w:rPr>
      </w:pPr>
    </w:p>
    <w:p w:rsidR="00A30FF0" w:rsidRDefault="00A30FF0" w:rsidP="00A30FF0">
      <w:pPr>
        <w:spacing w:after="0" w:line="240" w:lineRule="auto"/>
        <w:rPr>
          <w:lang w:val="es-ES_tradnl"/>
        </w:rPr>
      </w:pPr>
    </w:p>
    <w:p w:rsidR="00A30FF0" w:rsidRDefault="00A30FF0" w:rsidP="00A30FF0">
      <w:pPr>
        <w:spacing w:after="0" w:line="240" w:lineRule="auto"/>
        <w:rPr>
          <w:lang w:val="es-ES_tradnl"/>
        </w:rPr>
      </w:pPr>
    </w:p>
    <w:p w:rsidR="00A30FF0" w:rsidRDefault="00A30FF0" w:rsidP="00A30FF0">
      <w:pPr>
        <w:spacing w:after="0" w:line="240" w:lineRule="auto"/>
        <w:rPr>
          <w:lang w:val="es-ES_tradnl"/>
        </w:rPr>
      </w:pPr>
    </w:p>
    <w:p w:rsidR="00A30FF0" w:rsidRDefault="00A30FF0" w:rsidP="00A30FF0">
      <w:pPr>
        <w:spacing w:after="0" w:line="240" w:lineRule="auto"/>
        <w:rPr>
          <w:lang w:val="es-ES_tradnl"/>
        </w:rPr>
      </w:pPr>
    </w:p>
    <w:p w:rsidR="00A30FF0" w:rsidRDefault="00A30FF0" w:rsidP="00A30FF0">
      <w:pPr>
        <w:spacing w:after="0" w:line="240" w:lineRule="auto"/>
        <w:rPr>
          <w:lang w:val="es-ES_tradnl"/>
        </w:rPr>
      </w:pPr>
    </w:p>
    <w:p w:rsidR="00A30FF0" w:rsidRDefault="00A30FF0" w:rsidP="00A30FF0">
      <w:pPr>
        <w:spacing w:after="0" w:line="240" w:lineRule="auto"/>
        <w:rPr>
          <w:lang w:val="es-ES_tradnl"/>
        </w:rPr>
      </w:pPr>
    </w:p>
    <w:p w:rsidR="00A30FF0" w:rsidRDefault="00A30FF0" w:rsidP="00A30FF0">
      <w:pPr>
        <w:spacing w:after="0" w:line="240" w:lineRule="auto"/>
        <w:rPr>
          <w:lang w:val="es-ES_tradnl"/>
        </w:rPr>
      </w:pPr>
    </w:p>
    <w:p w:rsidR="00A30FF0" w:rsidRDefault="00A30FF0" w:rsidP="00A30FF0">
      <w:pPr>
        <w:spacing w:after="0" w:line="240" w:lineRule="auto"/>
        <w:rPr>
          <w:lang w:val="es-ES_tradnl"/>
        </w:rPr>
      </w:pPr>
    </w:p>
    <w:p w:rsidR="00A30FF0" w:rsidRDefault="00A30FF0" w:rsidP="00A30FF0">
      <w:pPr>
        <w:pStyle w:val="TITULO4OBJETIVO"/>
        <w:jc w:val="both"/>
        <w:sectPr w:rsidR="00A30FF0" w:rsidSect="000F6ADC">
          <w:footerReference w:type="even" r:id="rId14"/>
          <w:footerReference w:type="default" r:id="rId15"/>
          <w:type w:val="continuous"/>
          <w:pgSz w:w="12240" w:h="15840" w:code="1"/>
          <w:pgMar w:top="2268" w:right="1418" w:bottom="1134" w:left="1418" w:header="0" w:footer="567" w:gutter="0"/>
          <w:cols w:space="454"/>
          <w:docGrid w:linePitch="360"/>
        </w:sectPr>
      </w:pPr>
    </w:p>
    <w:p w:rsidR="0011525B" w:rsidRDefault="0011525B" w:rsidP="00A30FF0">
      <w:pPr>
        <w:pStyle w:val="TITULO4OBJETIVO"/>
        <w:jc w:val="both"/>
      </w:pPr>
    </w:p>
    <w:p w:rsidR="0011525B" w:rsidRDefault="0011525B" w:rsidP="00A30FF0">
      <w:pPr>
        <w:pStyle w:val="TITULO4OBJETIVO"/>
        <w:jc w:val="both"/>
      </w:pPr>
    </w:p>
    <w:p w:rsidR="0011525B" w:rsidRDefault="0011525B" w:rsidP="00A30FF0">
      <w:pPr>
        <w:pStyle w:val="TITULO4OBJETIVO"/>
        <w:jc w:val="both"/>
      </w:pPr>
    </w:p>
    <w:p w:rsidR="0011525B" w:rsidRDefault="0011525B" w:rsidP="00A30FF0">
      <w:pPr>
        <w:pStyle w:val="TITULO4OBJETIVO"/>
        <w:jc w:val="both"/>
      </w:pPr>
    </w:p>
    <w:p w:rsidR="0011525B" w:rsidRDefault="0011525B" w:rsidP="00A30FF0">
      <w:pPr>
        <w:pStyle w:val="TITULO4OBJETIVO"/>
        <w:jc w:val="both"/>
      </w:pPr>
    </w:p>
    <w:p w:rsidR="0011525B" w:rsidRDefault="0011525B" w:rsidP="00A30FF0">
      <w:pPr>
        <w:pStyle w:val="TITULO4OBJETIVO"/>
        <w:jc w:val="both"/>
      </w:pPr>
    </w:p>
    <w:p w:rsidR="0011525B" w:rsidRDefault="0011525B" w:rsidP="00A30FF0">
      <w:pPr>
        <w:pStyle w:val="TITULO4OBJETIVO"/>
        <w:jc w:val="both"/>
      </w:pPr>
    </w:p>
    <w:p w:rsidR="0011525B" w:rsidRDefault="0011525B" w:rsidP="00A30FF0">
      <w:pPr>
        <w:pStyle w:val="TITULO4OBJETIVO"/>
        <w:jc w:val="both"/>
      </w:pPr>
    </w:p>
    <w:p w:rsidR="0011525B" w:rsidRDefault="0011525B" w:rsidP="00A30FF0">
      <w:pPr>
        <w:pStyle w:val="TITULO4OBJETIVO"/>
        <w:jc w:val="both"/>
      </w:pPr>
    </w:p>
    <w:p w:rsidR="0011525B" w:rsidRDefault="0011525B" w:rsidP="00A30FF0">
      <w:pPr>
        <w:pStyle w:val="TITULO4OBJETIVO"/>
        <w:jc w:val="both"/>
      </w:pPr>
    </w:p>
    <w:p w:rsidR="00A30FF0" w:rsidRDefault="00A30FF0" w:rsidP="00A30FF0">
      <w:pPr>
        <w:pStyle w:val="TITULO4OBJETIVO"/>
        <w:jc w:val="both"/>
      </w:pPr>
      <w:r w:rsidRPr="00676990">
        <w:lastRenderedPageBreak/>
        <w:t>Objetivo 2. Incrementar la inversión en activos fijos para el sector agroalimentario y rural</w:t>
      </w:r>
    </w:p>
    <w:p w:rsidR="008616B5" w:rsidRPr="008616B5" w:rsidRDefault="008616B5" w:rsidP="00680614">
      <w:pPr>
        <w:spacing w:before="120" w:after="120" w:line="220" w:lineRule="exact"/>
      </w:pPr>
    </w:p>
    <w:p w:rsidR="00A30FF0" w:rsidRDefault="00A30FF0" w:rsidP="00680614">
      <w:pPr>
        <w:spacing w:before="120" w:after="120" w:line="220" w:lineRule="exact"/>
        <w:rPr>
          <w:szCs w:val="17"/>
          <w:lang w:eastAsia="es-MX"/>
        </w:rPr>
      </w:pPr>
      <w:r w:rsidRPr="0030646F">
        <w:rPr>
          <w:szCs w:val="17"/>
          <w:lang w:eastAsia="es-MX"/>
        </w:rPr>
        <w:t xml:space="preserve">El PND señala </w:t>
      </w:r>
      <w:r>
        <w:rPr>
          <w:szCs w:val="17"/>
          <w:lang w:eastAsia="es-MX"/>
        </w:rPr>
        <w:t xml:space="preserve">la </w:t>
      </w:r>
      <w:r w:rsidRPr="0030646F">
        <w:rPr>
          <w:szCs w:val="17"/>
          <w:lang w:eastAsia="es-MX"/>
        </w:rPr>
        <w:t xml:space="preserve">importancia de la capitalización del sector agroalimentario como una de las prioridades nacionales, por lo </w:t>
      </w:r>
      <w:r>
        <w:rPr>
          <w:szCs w:val="17"/>
          <w:lang w:eastAsia="es-MX"/>
        </w:rPr>
        <w:t xml:space="preserve">que se </w:t>
      </w:r>
      <w:r w:rsidRPr="0030646F">
        <w:rPr>
          <w:szCs w:val="17"/>
          <w:lang w:eastAsia="es-MX"/>
        </w:rPr>
        <w:t>requiere instrumentar mecanismos que promuevan la inversión en equipamiento e infraestructura, así como la incorporación de nuevas tecnologías, que permitan impulsar la productividad del campo nacional.</w:t>
      </w:r>
    </w:p>
    <w:p w:rsidR="00680614" w:rsidRDefault="00680614" w:rsidP="00680614">
      <w:pPr>
        <w:spacing w:before="120" w:after="120" w:line="220" w:lineRule="exact"/>
        <w:rPr>
          <w:szCs w:val="17"/>
          <w:lang w:eastAsia="es-MX"/>
        </w:rPr>
      </w:pPr>
    </w:p>
    <w:p w:rsidR="00A30FF0" w:rsidRDefault="00A30FF0" w:rsidP="00680614">
      <w:pPr>
        <w:spacing w:before="120" w:after="120" w:line="220" w:lineRule="exact"/>
        <w:rPr>
          <w:szCs w:val="17"/>
          <w:lang w:eastAsia="es-MX"/>
        </w:rPr>
      </w:pPr>
      <w:r>
        <w:t>En este sentido, la FND ha contribuido con el financiamiento de proyectos viables para la capitalización de las unidades productivas que permitan mejorar su productividad de manera sustentable a través de la inversión en infraestructura, maquinaria y equipamiento.</w:t>
      </w:r>
    </w:p>
    <w:p w:rsidR="00A30FF0" w:rsidRPr="0030646F" w:rsidRDefault="00A30FF0" w:rsidP="00680614">
      <w:pPr>
        <w:spacing w:before="120" w:after="120" w:line="220" w:lineRule="exact"/>
        <w:rPr>
          <w:szCs w:val="17"/>
          <w:lang w:eastAsia="es-MX"/>
        </w:rPr>
      </w:pPr>
    </w:p>
    <w:p w:rsidR="00A30FF0" w:rsidRDefault="00A30FF0" w:rsidP="00680614">
      <w:pPr>
        <w:pStyle w:val="TITULO5SECCIN"/>
        <w:spacing w:before="120" w:after="120" w:line="220" w:lineRule="exact"/>
        <w:jc w:val="both"/>
      </w:pPr>
      <w:r>
        <w:t>Resultados</w:t>
      </w:r>
    </w:p>
    <w:p w:rsidR="005A44DA" w:rsidRPr="005A44DA" w:rsidRDefault="005A44DA" w:rsidP="00680614">
      <w:pPr>
        <w:spacing w:before="120" w:after="120" w:line="220" w:lineRule="exact"/>
      </w:pPr>
    </w:p>
    <w:p w:rsidR="00A30FF0" w:rsidRDefault="00A30FF0" w:rsidP="00680614">
      <w:pPr>
        <w:spacing w:before="120" w:after="120" w:line="220" w:lineRule="exact"/>
        <w:rPr>
          <w:szCs w:val="17"/>
          <w:lang w:eastAsia="es-MX"/>
        </w:rPr>
      </w:pPr>
      <w:r>
        <w:rPr>
          <w:szCs w:val="17"/>
          <w:lang w:eastAsia="es-MX"/>
        </w:rPr>
        <w:t>A</w:t>
      </w:r>
      <w:r w:rsidRPr="00676990">
        <w:rPr>
          <w:szCs w:val="17"/>
          <w:lang w:eastAsia="es-MX"/>
        </w:rPr>
        <w:t xml:space="preserve">l </w:t>
      </w:r>
      <w:r>
        <w:rPr>
          <w:szCs w:val="17"/>
          <w:lang w:eastAsia="es-MX"/>
        </w:rPr>
        <w:t>término del ejercicio</w:t>
      </w:r>
      <w:r w:rsidRPr="00676990">
        <w:rPr>
          <w:szCs w:val="17"/>
          <w:lang w:eastAsia="es-MX"/>
        </w:rPr>
        <w:t xml:space="preserve">, la </w:t>
      </w:r>
      <w:r>
        <w:rPr>
          <w:szCs w:val="17"/>
          <w:lang w:eastAsia="es-MX"/>
        </w:rPr>
        <w:t>colocación</w:t>
      </w:r>
      <w:r w:rsidRPr="00676990">
        <w:rPr>
          <w:szCs w:val="17"/>
          <w:lang w:eastAsia="es-MX"/>
        </w:rPr>
        <w:t xml:space="preserve"> de créditos </w:t>
      </w:r>
      <w:r>
        <w:rPr>
          <w:szCs w:val="17"/>
          <w:lang w:eastAsia="es-MX"/>
        </w:rPr>
        <w:t>que contribuyen a la capitalización del sector</w:t>
      </w:r>
      <w:r w:rsidRPr="00676990">
        <w:rPr>
          <w:szCs w:val="17"/>
          <w:lang w:eastAsia="es-MX"/>
        </w:rPr>
        <w:t xml:space="preserve"> registr</w:t>
      </w:r>
      <w:r>
        <w:rPr>
          <w:szCs w:val="17"/>
          <w:lang w:eastAsia="es-MX"/>
        </w:rPr>
        <w:t>ó</w:t>
      </w:r>
      <w:r w:rsidRPr="00676990">
        <w:rPr>
          <w:szCs w:val="17"/>
          <w:lang w:eastAsia="es-MX"/>
        </w:rPr>
        <w:t xml:space="preserve"> un incremento </w:t>
      </w:r>
      <w:r>
        <w:rPr>
          <w:szCs w:val="17"/>
          <w:lang w:eastAsia="es-MX"/>
        </w:rPr>
        <w:t xml:space="preserve">real </w:t>
      </w:r>
      <w:r w:rsidRPr="00676990">
        <w:rPr>
          <w:szCs w:val="17"/>
          <w:lang w:eastAsia="es-MX"/>
        </w:rPr>
        <w:t xml:space="preserve">de </w:t>
      </w:r>
      <w:r>
        <w:rPr>
          <w:szCs w:val="17"/>
          <w:lang w:eastAsia="es-MX"/>
        </w:rPr>
        <w:t>7.5</w:t>
      </w:r>
      <w:r w:rsidRPr="00676990">
        <w:rPr>
          <w:szCs w:val="17"/>
          <w:lang w:eastAsia="es-MX"/>
        </w:rPr>
        <w:t>%</w:t>
      </w:r>
      <w:r>
        <w:rPr>
          <w:szCs w:val="17"/>
          <w:lang w:eastAsia="es-MX"/>
        </w:rPr>
        <w:t>,</w:t>
      </w:r>
      <w:r w:rsidRPr="00676990">
        <w:rPr>
          <w:szCs w:val="17"/>
          <w:lang w:eastAsia="es-MX"/>
        </w:rPr>
        <w:t xml:space="preserve"> respecto al monto registrado al cierre del </w:t>
      </w:r>
      <w:r>
        <w:rPr>
          <w:szCs w:val="17"/>
          <w:lang w:eastAsia="es-MX"/>
        </w:rPr>
        <w:t>año</w:t>
      </w:r>
      <w:r w:rsidRPr="00676990">
        <w:rPr>
          <w:szCs w:val="17"/>
          <w:lang w:eastAsia="es-MX"/>
        </w:rPr>
        <w:t xml:space="preserve"> 201</w:t>
      </w:r>
      <w:r>
        <w:rPr>
          <w:szCs w:val="17"/>
          <w:lang w:eastAsia="es-MX"/>
        </w:rPr>
        <w:t>6</w:t>
      </w:r>
      <w:r w:rsidRPr="00676990">
        <w:rPr>
          <w:szCs w:val="17"/>
          <w:lang w:eastAsia="es-MX"/>
        </w:rPr>
        <w:t>.</w:t>
      </w:r>
    </w:p>
    <w:p w:rsidR="00680614" w:rsidRDefault="00680614" w:rsidP="00680614">
      <w:pPr>
        <w:spacing w:before="120" w:after="120" w:line="220" w:lineRule="exact"/>
        <w:rPr>
          <w:szCs w:val="17"/>
          <w:lang w:eastAsia="es-MX"/>
        </w:rPr>
      </w:pPr>
    </w:p>
    <w:p w:rsidR="00A30FF0" w:rsidRDefault="00A30FF0" w:rsidP="00680614">
      <w:pPr>
        <w:spacing w:before="120" w:after="120" w:line="220" w:lineRule="exact"/>
        <w:rPr>
          <w:szCs w:val="17"/>
          <w:lang w:eastAsia="es-MX"/>
        </w:rPr>
      </w:pPr>
      <w:r>
        <w:rPr>
          <w:szCs w:val="17"/>
          <w:lang w:eastAsia="es-MX"/>
        </w:rPr>
        <w:t xml:space="preserve"> Del </w:t>
      </w:r>
      <w:r w:rsidRPr="00676990">
        <w:rPr>
          <w:szCs w:val="17"/>
          <w:lang w:eastAsia="es-MX"/>
        </w:rPr>
        <w:t xml:space="preserve">financiamiento </w:t>
      </w:r>
      <w:r>
        <w:rPr>
          <w:szCs w:val="17"/>
          <w:lang w:eastAsia="es-MX"/>
        </w:rPr>
        <w:t>total otorgado por la Institución en 2017, el 18.6% ($13,274</w:t>
      </w:r>
      <w:r w:rsidRPr="00676990">
        <w:rPr>
          <w:szCs w:val="17"/>
          <w:lang w:eastAsia="es-MX"/>
        </w:rPr>
        <w:t xml:space="preserve"> </w:t>
      </w:r>
      <w:r>
        <w:t>mdp</w:t>
      </w:r>
      <w:r w:rsidRPr="00676990">
        <w:rPr>
          <w:szCs w:val="17"/>
          <w:lang w:eastAsia="es-MX"/>
        </w:rPr>
        <w:t>)</w:t>
      </w:r>
      <w:r>
        <w:rPr>
          <w:szCs w:val="17"/>
          <w:lang w:eastAsia="es-MX"/>
        </w:rPr>
        <w:t xml:space="preserve"> fue canalizado a proyectos que contribuyen a la capitalización del sector rural.</w:t>
      </w:r>
    </w:p>
    <w:p w:rsidR="00A30FF0" w:rsidRDefault="00A30FF0" w:rsidP="00680614">
      <w:pPr>
        <w:spacing w:before="120" w:after="120" w:line="220" w:lineRule="exact"/>
        <w:rPr>
          <w:szCs w:val="17"/>
          <w:lang w:eastAsia="es-MX"/>
        </w:rPr>
      </w:pPr>
    </w:p>
    <w:p w:rsidR="00A30FF0" w:rsidRDefault="00A30FF0" w:rsidP="00680614">
      <w:pPr>
        <w:pStyle w:val="TITULO5SECCIN"/>
        <w:spacing w:before="120" w:after="120" w:line="220" w:lineRule="exact"/>
        <w:jc w:val="both"/>
      </w:pPr>
      <w:bookmarkStart w:id="5" w:name="_Toc411595721"/>
      <w:r w:rsidRPr="00676990">
        <w:t>Actividades Relevantes</w:t>
      </w:r>
      <w:bookmarkEnd w:id="5"/>
    </w:p>
    <w:p w:rsidR="005A44DA" w:rsidRPr="005A44DA" w:rsidRDefault="005A44DA" w:rsidP="00680614">
      <w:pPr>
        <w:spacing w:before="120" w:after="120" w:line="220" w:lineRule="exact"/>
      </w:pPr>
    </w:p>
    <w:p w:rsidR="00A30FF0" w:rsidRDefault="00A30FF0" w:rsidP="00680614">
      <w:pPr>
        <w:pStyle w:val="Ttulo3"/>
        <w:spacing w:after="120" w:line="220" w:lineRule="exact"/>
        <w:jc w:val="both"/>
        <w:rPr>
          <w:rFonts w:ascii="Soberana Sans Light" w:hAnsi="Soberana Sans Light"/>
          <w:b/>
          <w:bCs/>
          <w:i w:val="0"/>
          <w:iCs w:val="0"/>
          <w:sz w:val="17"/>
          <w:szCs w:val="17"/>
          <w:lang w:val="es-ES"/>
        </w:rPr>
      </w:pPr>
      <w:bookmarkStart w:id="6" w:name="_Toc411595722"/>
      <w:bookmarkStart w:id="7" w:name="_Toc412214563"/>
      <w:r w:rsidRPr="00B8517A">
        <w:rPr>
          <w:rFonts w:ascii="Soberana Sans Light" w:hAnsi="Soberana Sans Light"/>
          <w:b/>
          <w:bCs/>
          <w:i w:val="0"/>
          <w:iCs w:val="0"/>
          <w:sz w:val="17"/>
          <w:szCs w:val="17"/>
          <w:lang w:val="es-ES"/>
        </w:rPr>
        <w:t>Estrategia 2.1 Establecer programa específico de financiamiento para la creación de activos de largo plazo</w:t>
      </w:r>
      <w:bookmarkEnd w:id="6"/>
      <w:bookmarkEnd w:id="7"/>
      <w:r w:rsidR="00A17DD7">
        <w:rPr>
          <w:rFonts w:ascii="Soberana Sans Light" w:hAnsi="Soberana Sans Light"/>
          <w:b/>
          <w:bCs/>
          <w:i w:val="0"/>
          <w:iCs w:val="0"/>
          <w:sz w:val="17"/>
          <w:szCs w:val="17"/>
          <w:lang w:val="es-ES"/>
        </w:rPr>
        <w:t>.</w:t>
      </w:r>
    </w:p>
    <w:p w:rsidR="005A44DA" w:rsidRPr="005A44DA" w:rsidRDefault="005A44DA" w:rsidP="00680614">
      <w:pPr>
        <w:spacing w:before="120" w:after="120" w:line="220" w:lineRule="exact"/>
        <w:rPr>
          <w:lang w:val="es-ES" w:eastAsia="es-ES"/>
        </w:rPr>
      </w:pPr>
    </w:p>
    <w:p w:rsidR="00A30FF0" w:rsidRDefault="00A30FF0" w:rsidP="00680614">
      <w:pPr>
        <w:spacing w:before="120" w:after="120" w:line="220" w:lineRule="exact"/>
        <w:rPr>
          <w:szCs w:val="17"/>
          <w:lang w:eastAsia="es-MX"/>
        </w:rPr>
      </w:pPr>
      <w:r>
        <w:rPr>
          <w:szCs w:val="17"/>
          <w:lang w:eastAsia="es-MX"/>
        </w:rPr>
        <w:t xml:space="preserve">Una tarea fundamental para la FND es </w:t>
      </w:r>
      <w:r w:rsidRPr="00B94131">
        <w:rPr>
          <w:szCs w:val="17"/>
          <w:lang w:eastAsia="es-MX"/>
        </w:rPr>
        <w:t xml:space="preserve">incentivar la adquisición de activos fijos con </w:t>
      </w:r>
      <w:r>
        <w:rPr>
          <w:szCs w:val="17"/>
          <w:lang w:eastAsia="es-MX"/>
        </w:rPr>
        <w:t xml:space="preserve">créditos </w:t>
      </w:r>
      <w:r w:rsidRPr="00B94131">
        <w:rPr>
          <w:szCs w:val="17"/>
          <w:lang w:eastAsia="es-MX"/>
        </w:rPr>
        <w:t xml:space="preserve">a largo plazo a través de </w:t>
      </w:r>
      <w:r>
        <w:rPr>
          <w:szCs w:val="17"/>
          <w:lang w:eastAsia="es-MX"/>
        </w:rPr>
        <w:t xml:space="preserve">entre otros mecanismos, </w:t>
      </w:r>
      <w:r w:rsidRPr="00B94131">
        <w:rPr>
          <w:szCs w:val="17"/>
          <w:lang w:eastAsia="es-MX"/>
        </w:rPr>
        <w:t>la vinculación del financiamiento con los Programa</w:t>
      </w:r>
      <w:r>
        <w:rPr>
          <w:szCs w:val="17"/>
          <w:lang w:eastAsia="es-MX"/>
        </w:rPr>
        <w:t>s de apoyo de la SAGARPA.</w:t>
      </w:r>
    </w:p>
    <w:p w:rsidR="00680614" w:rsidRDefault="00680614" w:rsidP="00680614">
      <w:pPr>
        <w:spacing w:before="120" w:after="120" w:line="220" w:lineRule="exact"/>
        <w:rPr>
          <w:szCs w:val="17"/>
          <w:lang w:eastAsia="es-MX"/>
        </w:rPr>
      </w:pPr>
    </w:p>
    <w:p w:rsidR="00A30FF0" w:rsidRDefault="00A30FF0" w:rsidP="00680614">
      <w:pPr>
        <w:spacing w:before="120" w:after="120" w:line="220" w:lineRule="exact"/>
        <w:rPr>
          <w:szCs w:val="17"/>
          <w:lang w:eastAsia="es-MX"/>
        </w:rPr>
      </w:pPr>
      <w:r w:rsidRPr="00B94131">
        <w:rPr>
          <w:szCs w:val="17"/>
          <w:lang w:eastAsia="es-MX"/>
        </w:rPr>
        <w:t xml:space="preserve">La colaboración interinstitucional entre las Unidades Responsables de la SAGARPA y </w:t>
      </w:r>
      <w:r>
        <w:rPr>
          <w:szCs w:val="17"/>
          <w:lang w:eastAsia="es-MX"/>
        </w:rPr>
        <w:t xml:space="preserve">la </w:t>
      </w:r>
      <w:r w:rsidRPr="00B94131">
        <w:rPr>
          <w:szCs w:val="17"/>
          <w:lang w:eastAsia="es-MX"/>
        </w:rPr>
        <w:t xml:space="preserve">FND ha permitido que ésta última opere como instancia ejecutora de la referida </w:t>
      </w:r>
      <w:r w:rsidRPr="00B94131">
        <w:rPr>
          <w:szCs w:val="17"/>
          <w:lang w:eastAsia="es-MX"/>
        </w:rPr>
        <w:t>Secretaría, potenciando los incentivos y facilitando el acceso al crédito.</w:t>
      </w:r>
    </w:p>
    <w:p w:rsidR="00680614" w:rsidRDefault="00680614" w:rsidP="00680614">
      <w:pPr>
        <w:spacing w:before="120" w:after="120" w:line="220" w:lineRule="exact"/>
        <w:rPr>
          <w:szCs w:val="17"/>
          <w:lang w:eastAsia="es-MX"/>
        </w:rPr>
      </w:pPr>
    </w:p>
    <w:p w:rsidR="00A30FF0" w:rsidRPr="00BB00F6" w:rsidRDefault="00A30FF0" w:rsidP="00680614">
      <w:pPr>
        <w:spacing w:before="120" w:after="120" w:line="220" w:lineRule="exact"/>
        <w:rPr>
          <w:szCs w:val="17"/>
          <w:lang w:eastAsia="es-MX"/>
        </w:rPr>
      </w:pPr>
      <w:r w:rsidRPr="00BB00F6">
        <w:rPr>
          <w:szCs w:val="17"/>
          <w:lang w:eastAsia="es-MX"/>
        </w:rPr>
        <w:t>En este sentido, se concluyó la operación de los siguientes componentes de los programas de apoyo de la Secretaría:</w:t>
      </w:r>
    </w:p>
    <w:p w:rsidR="00680614" w:rsidRPr="00BB00F6" w:rsidRDefault="00680614" w:rsidP="00680614">
      <w:pPr>
        <w:spacing w:before="120" w:after="120" w:line="220" w:lineRule="exact"/>
        <w:rPr>
          <w:szCs w:val="17"/>
          <w:lang w:eastAsia="es-MX"/>
        </w:rPr>
      </w:pPr>
    </w:p>
    <w:p w:rsidR="00A30FF0" w:rsidRPr="00BB00F6" w:rsidRDefault="00A30FF0" w:rsidP="00680614">
      <w:pPr>
        <w:pStyle w:val="Prrafodelista"/>
        <w:numPr>
          <w:ilvl w:val="0"/>
          <w:numId w:val="12"/>
        </w:numPr>
        <w:spacing w:before="120" w:after="120" w:line="220" w:lineRule="exact"/>
        <w:ind w:left="426" w:firstLine="0"/>
        <w:contextualSpacing w:val="0"/>
        <w:rPr>
          <w:szCs w:val="17"/>
          <w:lang w:eastAsia="es-MX"/>
        </w:rPr>
      </w:pPr>
      <w:r w:rsidRPr="00BB00F6">
        <w:rPr>
          <w:szCs w:val="17"/>
          <w:lang w:eastAsia="es-MX"/>
        </w:rPr>
        <w:t>Desarrollo Productivo Sur Sureste y Zonas Económicas Especiales.</w:t>
      </w:r>
    </w:p>
    <w:p w:rsidR="00680614" w:rsidRPr="00BB00F6" w:rsidRDefault="00680614" w:rsidP="00680614">
      <w:pPr>
        <w:pStyle w:val="Prrafodelista"/>
        <w:spacing w:before="120" w:after="120" w:line="220" w:lineRule="exact"/>
        <w:ind w:left="426"/>
        <w:contextualSpacing w:val="0"/>
        <w:rPr>
          <w:szCs w:val="17"/>
          <w:lang w:eastAsia="es-MX"/>
        </w:rPr>
      </w:pPr>
    </w:p>
    <w:p w:rsidR="00A30FF0" w:rsidRPr="00BB00F6" w:rsidRDefault="00A30FF0" w:rsidP="00680614">
      <w:pPr>
        <w:pStyle w:val="Prrafodelista"/>
        <w:numPr>
          <w:ilvl w:val="0"/>
          <w:numId w:val="12"/>
        </w:numPr>
        <w:spacing w:before="120" w:after="120" w:line="220" w:lineRule="exact"/>
        <w:ind w:left="426" w:firstLine="0"/>
        <w:contextualSpacing w:val="0"/>
        <w:rPr>
          <w:szCs w:val="17"/>
          <w:lang w:eastAsia="es-MX"/>
        </w:rPr>
      </w:pPr>
      <w:r w:rsidRPr="00BB00F6">
        <w:rPr>
          <w:szCs w:val="17"/>
          <w:lang w:eastAsia="es-MX"/>
        </w:rPr>
        <w:t>Activos Productivos y Agrologística.</w:t>
      </w:r>
    </w:p>
    <w:p w:rsidR="00680614" w:rsidRPr="00BB00F6" w:rsidRDefault="00680614" w:rsidP="00680614">
      <w:pPr>
        <w:pStyle w:val="Prrafodelista"/>
        <w:spacing w:before="120" w:after="120" w:line="220" w:lineRule="exact"/>
        <w:ind w:left="426"/>
        <w:contextualSpacing w:val="0"/>
        <w:rPr>
          <w:szCs w:val="17"/>
          <w:lang w:eastAsia="es-MX"/>
        </w:rPr>
      </w:pPr>
    </w:p>
    <w:p w:rsidR="00A30FF0" w:rsidRPr="00BB00F6" w:rsidRDefault="00A30FF0" w:rsidP="00680614">
      <w:pPr>
        <w:pStyle w:val="Prrafodelista"/>
        <w:numPr>
          <w:ilvl w:val="0"/>
          <w:numId w:val="12"/>
        </w:numPr>
        <w:spacing w:before="120" w:after="120" w:line="220" w:lineRule="exact"/>
        <w:ind w:left="426" w:firstLine="0"/>
        <w:contextualSpacing w:val="0"/>
        <w:rPr>
          <w:szCs w:val="17"/>
          <w:lang w:eastAsia="es-MX"/>
        </w:rPr>
      </w:pPr>
      <w:r w:rsidRPr="00BB00F6">
        <w:rPr>
          <w:szCs w:val="17"/>
          <w:lang w:eastAsia="es-MX"/>
        </w:rPr>
        <w:t>Fondo para la Transición Energética y el Aprovechamiento Sustentable de la Energía del Proyecto de Bioeconomía 2010 (Fondo).</w:t>
      </w:r>
    </w:p>
    <w:p w:rsidR="00680614" w:rsidRPr="00BB00F6" w:rsidRDefault="00680614" w:rsidP="00680614">
      <w:pPr>
        <w:pStyle w:val="Prrafodelista"/>
        <w:spacing w:before="120" w:after="120" w:line="220" w:lineRule="exact"/>
        <w:ind w:left="426"/>
        <w:contextualSpacing w:val="0"/>
        <w:rPr>
          <w:szCs w:val="17"/>
          <w:lang w:eastAsia="es-MX"/>
        </w:rPr>
      </w:pPr>
    </w:p>
    <w:p w:rsidR="00A30FF0" w:rsidRPr="00BB00F6" w:rsidRDefault="00A30FF0" w:rsidP="00680614">
      <w:pPr>
        <w:pStyle w:val="Prrafodelista"/>
        <w:numPr>
          <w:ilvl w:val="0"/>
          <w:numId w:val="12"/>
        </w:numPr>
        <w:spacing w:before="120" w:after="120" w:line="220" w:lineRule="exact"/>
        <w:ind w:left="426" w:firstLine="0"/>
        <w:contextualSpacing w:val="0"/>
        <w:rPr>
          <w:szCs w:val="17"/>
          <w:lang w:eastAsia="es-MX"/>
        </w:rPr>
      </w:pPr>
      <w:r w:rsidRPr="00BB00F6">
        <w:rPr>
          <w:szCs w:val="17"/>
          <w:lang w:eastAsia="es-MX"/>
        </w:rPr>
        <w:t>Mejoramiento Productivo de Suelo y Agua, Incentivo Sistemas de Riego Tecnificado.</w:t>
      </w:r>
    </w:p>
    <w:p w:rsidR="00680614" w:rsidRPr="00BB00F6" w:rsidRDefault="00680614" w:rsidP="00680614">
      <w:pPr>
        <w:spacing w:before="120" w:after="120" w:line="220" w:lineRule="exact"/>
        <w:rPr>
          <w:szCs w:val="17"/>
          <w:lang w:eastAsia="es-MX"/>
        </w:rPr>
      </w:pPr>
    </w:p>
    <w:p w:rsidR="00A30FF0" w:rsidRPr="00BB00F6" w:rsidRDefault="00A30FF0" w:rsidP="00680614">
      <w:pPr>
        <w:pStyle w:val="Prrafodelista"/>
        <w:numPr>
          <w:ilvl w:val="0"/>
          <w:numId w:val="12"/>
        </w:numPr>
        <w:spacing w:before="120" w:after="120" w:line="220" w:lineRule="exact"/>
        <w:ind w:left="426" w:firstLine="0"/>
        <w:contextualSpacing w:val="0"/>
        <w:rPr>
          <w:szCs w:val="17"/>
          <w:lang w:eastAsia="es-MX"/>
        </w:rPr>
      </w:pPr>
      <w:r w:rsidRPr="00BB00F6">
        <w:rPr>
          <w:szCs w:val="17"/>
          <w:lang w:eastAsia="es-MX"/>
        </w:rPr>
        <w:t>Mejoramiento Productivo de Suelo y Agua, Incentivo Recuperación de Suelos con Degradación Agroquímica, Principalmente Pérdida de Fertilidad.</w:t>
      </w:r>
    </w:p>
    <w:p w:rsidR="00680614" w:rsidRPr="00BB00F6" w:rsidRDefault="00680614" w:rsidP="00680614">
      <w:pPr>
        <w:spacing w:before="120" w:after="120" w:line="220" w:lineRule="exact"/>
        <w:rPr>
          <w:szCs w:val="17"/>
          <w:lang w:eastAsia="es-MX"/>
        </w:rPr>
      </w:pPr>
    </w:p>
    <w:p w:rsidR="00A30FF0" w:rsidRPr="00BB00F6" w:rsidRDefault="00A30FF0" w:rsidP="00680614">
      <w:pPr>
        <w:pStyle w:val="Prrafodelista"/>
        <w:numPr>
          <w:ilvl w:val="0"/>
          <w:numId w:val="12"/>
        </w:numPr>
        <w:spacing w:before="120" w:after="120" w:line="220" w:lineRule="exact"/>
        <w:ind w:left="426" w:firstLine="0"/>
        <w:contextualSpacing w:val="0"/>
        <w:rPr>
          <w:szCs w:val="17"/>
          <w:lang w:eastAsia="es-MX"/>
        </w:rPr>
      </w:pPr>
      <w:r w:rsidRPr="00BB00F6">
        <w:rPr>
          <w:szCs w:val="17"/>
          <w:lang w:eastAsia="es-MX"/>
        </w:rPr>
        <w:t>Energías Renovables.</w:t>
      </w:r>
    </w:p>
    <w:p w:rsidR="00680614" w:rsidRPr="00BB00F6" w:rsidRDefault="00680614" w:rsidP="00680614">
      <w:pPr>
        <w:spacing w:before="120" w:after="120" w:line="220" w:lineRule="exact"/>
        <w:rPr>
          <w:szCs w:val="17"/>
          <w:lang w:eastAsia="es-MX"/>
        </w:rPr>
      </w:pPr>
    </w:p>
    <w:p w:rsidR="00A30FF0" w:rsidRPr="00BB00F6" w:rsidRDefault="00A30FF0" w:rsidP="00680614">
      <w:pPr>
        <w:pStyle w:val="Prrafodelista"/>
        <w:numPr>
          <w:ilvl w:val="0"/>
          <w:numId w:val="12"/>
        </w:numPr>
        <w:spacing w:before="120" w:after="120" w:line="220" w:lineRule="exact"/>
        <w:ind w:left="426" w:firstLine="0"/>
        <w:contextualSpacing w:val="0"/>
        <w:rPr>
          <w:szCs w:val="17"/>
          <w:lang w:eastAsia="es-MX"/>
        </w:rPr>
      </w:pPr>
      <w:r w:rsidRPr="00BB00F6">
        <w:rPr>
          <w:szCs w:val="17"/>
          <w:lang w:eastAsia="es-MX"/>
        </w:rPr>
        <w:t>Capitalización Productiva Agrícola, Incentivo Infraestructura y Equipamiento para Instalaciones Productivas.</w:t>
      </w:r>
    </w:p>
    <w:p w:rsidR="00680614" w:rsidRPr="00BB00F6" w:rsidRDefault="00680614" w:rsidP="00680614">
      <w:pPr>
        <w:pStyle w:val="Prrafodelista"/>
        <w:spacing w:before="120" w:after="120" w:line="220" w:lineRule="exact"/>
        <w:ind w:left="426"/>
        <w:contextualSpacing w:val="0"/>
        <w:rPr>
          <w:szCs w:val="17"/>
          <w:lang w:eastAsia="es-MX"/>
        </w:rPr>
      </w:pPr>
    </w:p>
    <w:p w:rsidR="00A30FF0" w:rsidRPr="00BB00F6" w:rsidRDefault="00A30FF0" w:rsidP="00680614">
      <w:pPr>
        <w:pStyle w:val="Prrafodelista"/>
        <w:numPr>
          <w:ilvl w:val="0"/>
          <w:numId w:val="12"/>
        </w:numPr>
        <w:spacing w:before="120" w:after="120" w:line="220" w:lineRule="exact"/>
        <w:ind w:left="426" w:firstLine="0"/>
        <w:contextualSpacing w:val="0"/>
        <w:rPr>
          <w:szCs w:val="17"/>
          <w:lang w:eastAsia="es-MX"/>
        </w:rPr>
      </w:pPr>
      <w:r w:rsidRPr="00BB00F6">
        <w:rPr>
          <w:szCs w:val="17"/>
          <w:lang w:eastAsia="es-MX"/>
        </w:rPr>
        <w:t>Programa de Fomento Ganadero. Componente de Capitalización Productiva Pecuaria (PROFIGAN 2017).</w:t>
      </w:r>
    </w:p>
    <w:p w:rsidR="00680614" w:rsidRPr="00BB00F6" w:rsidRDefault="00680614" w:rsidP="00680614">
      <w:pPr>
        <w:spacing w:before="120" w:after="120" w:line="220" w:lineRule="exact"/>
        <w:rPr>
          <w:szCs w:val="17"/>
          <w:lang w:eastAsia="es-MX"/>
        </w:rPr>
      </w:pPr>
    </w:p>
    <w:p w:rsidR="00A30FF0" w:rsidRPr="00BB00F6" w:rsidRDefault="00A30FF0" w:rsidP="00680614">
      <w:pPr>
        <w:pStyle w:val="Prrafodelista"/>
        <w:numPr>
          <w:ilvl w:val="0"/>
          <w:numId w:val="12"/>
        </w:numPr>
        <w:spacing w:before="120" w:after="120" w:line="220" w:lineRule="exact"/>
        <w:ind w:left="426" w:firstLine="0"/>
        <w:contextualSpacing w:val="0"/>
        <w:rPr>
          <w:szCs w:val="17"/>
          <w:lang w:eastAsia="es-MX"/>
        </w:rPr>
      </w:pPr>
      <w:r w:rsidRPr="00BB00F6">
        <w:rPr>
          <w:szCs w:val="17"/>
          <w:lang w:eastAsia="es-MX"/>
        </w:rPr>
        <w:t>Investigación, Innovación y Desarrollo Tecnológico Agrícola, Incentivo Adquisición de Maquinaria y Equipo.</w:t>
      </w:r>
    </w:p>
    <w:p w:rsidR="00680614" w:rsidRPr="00680614" w:rsidRDefault="00680614" w:rsidP="00680614">
      <w:pPr>
        <w:spacing w:before="120" w:after="120" w:line="220" w:lineRule="exact"/>
        <w:ind w:left="426"/>
        <w:rPr>
          <w:szCs w:val="17"/>
          <w:lang w:eastAsia="es-MX"/>
        </w:rPr>
      </w:pPr>
    </w:p>
    <w:p w:rsidR="00894A51" w:rsidRDefault="00894A51" w:rsidP="00680614">
      <w:pPr>
        <w:spacing w:before="120" w:after="120" w:line="220" w:lineRule="exact"/>
        <w:rPr>
          <w:szCs w:val="17"/>
          <w:lang w:eastAsia="es-MX"/>
        </w:rPr>
      </w:pPr>
      <w:r w:rsidRPr="00894A51">
        <w:rPr>
          <w:szCs w:val="17"/>
          <w:lang w:eastAsia="es-MX"/>
        </w:rPr>
        <w:t>Durante 2017, se han otorgado incentivos asociados de estos Programas por aproximadamente $681.2</w:t>
      </w:r>
      <w:r>
        <w:rPr>
          <w:szCs w:val="17"/>
          <w:lang w:eastAsia="es-MX"/>
        </w:rPr>
        <w:t xml:space="preserve"> mdp, en </w:t>
      </w:r>
      <w:r w:rsidRPr="00894A51">
        <w:rPr>
          <w:szCs w:val="17"/>
          <w:lang w:eastAsia="es-MX"/>
        </w:rPr>
        <w:t>1,808 proyectos, beneficiando a</w:t>
      </w:r>
      <w:r>
        <w:rPr>
          <w:szCs w:val="17"/>
          <w:lang w:eastAsia="es-MX"/>
        </w:rPr>
        <w:t xml:space="preserve"> </w:t>
      </w:r>
      <w:r w:rsidRPr="00894A51">
        <w:rPr>
          <w:szCs w:val="17"/>
          <w:lang w:eastAsia="es-MX"/>
        </w:rPr>
        <w:t>5,877 productores.</w:t>
      </w:r>
    </w:p>
    <w:p w:rsidR="00680614" w:rsidRDefault="00680614" w:rsidP="00680614">
      <w:pPr>
        <w:spacing w:before="120" w:after="120" w:line="220" w:lineRule="exact"/>
        <w:rPr>
          <w:szCs w:val="17"/>
          <w:lang w:eastAsia="es-MX"/>
        </w:rPr>
      </w:pPr>
    </w:p>
    <w:p w:rsidR="00A30FF0" w:rsidRDefault="00A30FF0" w:rsidP="00680614">
      <w:pPr>
        <w:spacing w:before="120" w:after="120" w:line="220" w:lineRule="exact"/>
        <w:rPr>
          <w:szCs w:val="17"/>
          <w:lang w:eastAsia="es-MX"/>
        </w:rPr>
      </w:pPr>
      <w:r>
        <w:rPr>
          <w:szCs w:val="17"/>
          <w:lang w:eastAsia="es-MX"/>
        </w:rPr>
        <w:t>En materia de promoción</w:t>
      </w:r>
      <w:r w:rsidRPr="00487899">
        <w:t xml:space="preserve"> </w:t>
      </w:r>
      <w:r>
        <w:t xml:space="preserve">para </w:t>
      </w:r>
      <w:r w:rsidRPr="00487899">
        <w:rPr>
          <w:szCs w:val="17"/>
          <w:lang w:eastAsia="es-MX"/>
        </w:rPr>
        <w:t>la inclusión financiera de proyectos productivos de Pequeños Productores en Comunidades Indígenas</w:t>
      </w:r>
      <w:r>
        <w:rPr>
          <w:szCs w:val="17"/>
          <w:lang w:eastAsia="es-MX"/>
        </w:rPr>
        <w:t>, s</w:t>
      </w:r>
      <w:r w:rsidRPr="00487899">
        <w:rPr>
          <w:szCs w:val="17"/>
          <w:lang w:eastAsia="es-MX"/>
        </w:rPr>
        <w:t xml:space="preserve">e amplió la cobertura de servicios </w:t>
      </w:r>
      <w:r w:rsidRPr="00487899">
        <w:rPr>
          <w:szCs w:val="17"/>
          <w:lang w:eastAsia="es-MX"/>
        </w:rPr>
        <w:lastRenderedPageBreak/>
        <w:t xml:space="preserve">financieros formales con crédito de FND en comunidades indígenas de alta y muy alta marginación y difícil acceso, y se impulsó la expansión en la cobertura de servicios financieros de </w:t>
      </w:r>
      <w:r w:rsidRPr="00C61A63">
        <w:rPr>
          <w:lang w:val="es-ES" w:eastAsia="es-ES"/>
        </w:rPr>
        <w:t>Empresa</w:t>
      </w:r>
      <w:r>
        <w:rPr>
          <w:lang w:val="es-ES" w:eastAsia="es-ES"/>
        </w:rPr>
        <w:t>s de Intermediación Financiera (</w:t>
      </w:r>
      <w:r w:rsidRPr="00487899">
        <w:rPr>
          <w:szCs w:val="17"/>
          <w:lang w:eastAsia="es-MX"/>
        </w:rPr>
        <w:t>EIF</w:t>
      </w:r>
      <w:r>
        <w:rPr>
          <w:szCs w:val="17"/>
          <w:lang w:eastAsia="es-MX"/>
        </w:rPr>
        <w:t>)</w:t>
      </w:r>
      <w:r w:rsidRPr="00487899">
        <w:rPr>
          <w:szCs w:val="17"/>
          <w:lang w:eastAsia="es-MX"/>
        </w:rPr>
        <w:t xml:space="preserve"> que </w:t>
      </w:r>
      <w:r>
        <w:rPr>
          <w:szCs w:val="17"/>
          <w:lang w:eastAsia="es-MX"/>
        </w:rPr>
        <w:t>son administradas por</w:t>
      </w:r>
      <w:r w:rsidRPr="00487899">
        <w:rPr>
          <w:szCs w:val="17"/>
          <w:lang w:eastAsia="es-MX"/>
        </w:rPr>
        <w:t xml:space="preserve"> productores indígenas.</w:t>
      </w:r>
    </w:p>
    <w:p w:rsidR="00A30FF0" w:rsidRDefault="00A30FF0" w:rsidP="00680614">
      <w:pPr>
        <w:pStyle w:val="Ttulo3"/>
        <w:spacing w:after="120" w:line="220" w:lineRule="exact"/>
        <w:jc w:val="both"/>
        <w:rPr>
          <w:rFonts w:ascii="Soberana Sans" w:hAnsi="Soberana Sans"/>
          <w:bCs/>
          <w:i w:val="0"/>
          <w:iCs w:val="0"/>
          <w:sz w:val="17"/>
          <w:szCs w:val="17"/>
          <w:lang w:val="es-ES"/>
        </w:rPr>
      </w:pPr>
      <w:bookmarkStart w:id="8" w:name="_Toc411595723"/>
      <w:bookmarkStart w:id="9" w:name="_Toc412214564"/>
    </w:p>
    <w:p w:rsidR="00A30FF0" w:rsidRDefault="00A30FF0" w:rsidP="00680614">
      <w:pPr>
        <w:pStyle w:val="Ttulo3"/>
        <w:spacing w:after="120" w:line="220" w:lineRule="exact"/>
        <w:jc w:val="both"/>
        <w:rPr>
          <w:rFonts w:ascii="Soberana Sans Light" w:hAnsi="Soberana Sans Light"/>
          <w:b/>
          <w:bCs/>
          <w:i w:val="0"/>
          <w:iCs w:val="0"/>
          <w:sz w:val="17"/>
          <w:szCs w:val="17"/>
          <w:lang w:val="es-ES"/>
        </w:rPr>
      </w:pPr>
      <w:r w:rsidRPr="00B8517A">
        <w:rPr>
          <w:rFonts w:ascii="Soberana Sans Light" w:hAnsi="Soberana Sans Light"/>
          <w:b/>
          <w:bCs/>
          <w:i w:val="0"/>
          <w:iCs w:val="0"/>
          <w:sz w:val="17"/>
          <w:szCs w:val="17"/>
          <w:lang w:val="es-ES"/>
        </w:rPr>
        <w:t>Estrategia 2.2 Incrementar el financiamiento en tecnificación</w:t>
      </w:r>
      <w:bookmarkEnd w:id="8"/>
      <w:bookmarkEnd w:id="9"/>
      <w:r w:rsidR="00A17DD7">
        <w:rPr>
          <w:rFonts w:ascii="Soberana Sans Light" w:hAnsi="Soberana Sans Light"/>
          <w:b/>
          <w:bCs/>
          <w:i w:val="0"/>
          <w:iCs w:val="0"/>
          <w:sz w:val="17"/>
          <w:szCs w:val="17"/>
          <w:lang w:val="es-ES"/>
        </w:rPr>
        <w:t>.</w:t>
      </w:r>
    </w:p>
    <w:p w:rsidR="005A44DA" w:rsidRPr="005A44DA" w:rsidRDefault="005A44DA" w:rsidP="00680614">
      <w:pPr>
        <w:spacing w:before="120" w:after="120" w:line="220" w:lineRule="exact"/>
        <w:rPr>
          <w:lang w:val="es-ES" w:eastAsia="es-ES"/>
        </w:rPr>
      </w:pPr>
    </w:p>
    <w:p w:rsidR="00A30FF0" w:rsidRDefault="00A30FF0" w:rsidP="00680614">
      <w:pPr>
        <w:pStyle w:val="Ttulo3"/>
        <w:spacing w:after="120" w:line="220" w:lineRule="exact"/>
        <w:jc w:val="both"/>
        <w:rPr>
          <w:lang w:eastAsia="es-MX"/>
        </w:rPr>
      </w:pPr>
      <w:bookmarkStart w:id="10" w:name="_Toc411595724"/>
      <w:bookmarkStart w:id="11" w:name="_Toc412214565"/>
      <w:r w:rsidRPr="00B61F54">
        <w:rPr>
          <w:rFonts w:ascii="Soberana Sans Light" w:eastAsia="Calibri" w:hAnsi="Soberana Sans Light"/>
          <w:i w:val="0"/>
          <w:iCs w:val="0"/>
          <w:sz w:val="17"/>
          <w:szCs w:val="17"/>
          <w:lang w:eastAsia="es-MX"/>
        </w:rPr>
        <w:t>Para impulsar el financiamiento orientado a la tecnificación</w:t>
      </w:r>
      <w:r>
        <w:rPr>
          <w:rFonts w:ascii="Soberana Sans Light" w:eastAsia="Calibri" w:hAnsi="Soberana Sans Light"/>
          <w:i w:val="0"/>
          <w:iCs w:val="0"/>
          <w:sz w:val="17"/>
          <w:szCs w:val="17"/>
          <w:lang w:eastAsia="es-MX"/>
        </w:rPr>
        <w:t>, s</w:t>
      </w:r>
      <w:r w:rsidRPr="00B61F54">
        <w:rPr>
          <w:rFonts w:ascii="Soberana Sans Light" w:eastAsia="Calibri" w:hAnsi="Soberana Sans Light"/>
          <w:i w:val="0"/>
          <w:iCs w:val="0"/>
          <w:sz w:val="17"/>
          <w:szCs w:val="17"/>
          <w:lang w:eastAsia="es-MX"/>
        </w:rPr>
        <w:t>e contactó al Instituto Nacional de Investigaciones Forestales, Agrícolas y Pecuarias (INIFAP), institución especializada en innovaciones tecnológicas en el ámbito forestal, agrícola y pecuar</w:t>
      </w:r>
      <w:r>
        <w:rPr>
          <w:rFonts w:ascii="Soberana Sans Light" w:eastAsia="Calibri" w:hAnsi="Soberana Sans Light"/>
          <w:i w:val="0"/>
          <w:iCs w:val="0"/>
          <w:sz w:val="17"/>
          <w:szCs w:val="17"/>
          <w:lang w:eastAsia="es-MX"/>
        </w:rPr>
        <w:t xml:space="preserve">io, con la cual </w:t>
      </w:r>
      <w:r w:rsidRPr="00B61F54">
        <w:rPr>
          <w:rFonts w:ascii="Soberana Sans Light" w:eastAsia="Calibri" w:hAnsi="Soberana Sans Light"/>
          <w:i w:val="0"/>
          <w:iCs w:val="0"/>
          <w:sz w:val="17"/>
          <w:szCs w:val="17"/>
          <w:lang w:eastAsia="es-MX"/>
        </w:rPr>
        <w:t>se tiene planeado</w:t>
      </w:r>
      <w:r w:rsidR="005A44DA">
        <w:rPr>
          <w:rFonts w:ascii="Soberana Sans Light" w:eastAsia="Calibri" w:hAnsi="Soberana Sans Light"/>
          <w:i w:val="0"/>
          <w:iCs w:val="0"/>
          <w:sz w:val="17"/>
          <w:szCs w:val="17"/>
          <w:lang w:eastAsia="es-MX"/>
        </w:rPr>
        <w:t xml:space="preserve"> </w:t>
      </w:r>
      <w:r w:rsidRPr="00B61F54">
        <w:rPr>
          <w:rFonts w:ascii="Soberana Sans Light" w:eastAsia="Calibri" w:hAnsi="Soberana Sans Light"/>
          <w:i w:val="0"/>
          <w:iCs w:val="0"/>
          <w:sz w:val="17"/>
          <w:szCs w:val="17"/>
          <w:lang w:eastAsia="es-MX"/>
        </w:rPr>
        <w:t>firmar un convenio de colaboración,</w:t>
      </w:r>
      <w:r>
        <w:rPr>
          <w:rFonts w:ascii="Soberana Sans Light" w:eastAsia="Calibri" w:hAnsi="Soberana Sans Light"/>
          <w:i w:val="0"/>
          <w:iCs w:val="0"/>
          <w:sz w:val="17"/>
          <w:szCs w:val="17"/>
          <w:lang w:eastAsia="es-MX"/>
        </w:rPr>
        <w:t xml:space="preserve"> una vez revisado por su área técnica.</w:t>
      </w:r>
    </w:p>
    <w:p w:rsidR="00A30FF0" w:rsidRDefault="00A30FF0" w:rsidP="00680614">
      <w:pPr>
        <w:pStyle w:val="Ttulo3"/>
        <w:spacing w:after="120" w:line="220" w:lineRule="exact"/>
        <w:jc w:val="both"/>
        <w:rPr>
          <w:rFonts w:ascii="Soberana Sans Light" w:eastAsia="Calibri" w:hAnsi="Soberana Sans Light"/>
          <w:i w:val="0"/>
          <w:iCs w:val="0"/>
          <w:sz w:val="17"/>
          <w:szCs w:val="17"/>
          <w:lang w:eastAsia="es-MX"/>
        </w:rPr>
      </w:pPr>
    </w:p>
    <w:p w:rsidR="00A30FF0" w:rsidRDefault="00A30FF0" w:rsidP="00680614">
      <w:pPr>
        <w:pStyle w:val="Ttulo3"/>
        <w:spacing w:after="120" w:line="220" w:lineRule="exact"/>
        <w:jc w:val="both"/>
        <w:rPr>
          <w:rFonts w:ascii="Soberana Sans Light" w:hAnsi="Soberana Sans Light"/>
          <w:b/>
          <w:bCs/>
          <w:i w:val="0"/>
          <w:iCs w:val="0"/>
          <w:sz w:val="17"/>
          <w:szCs w:val="17"/>
          <w:lang w:val="es-ES"/>
        </w:rPr>
      </w:pPr>
      <w:r w:rsidRPr="00B8517A">
        <w:rPr>
          <w:rFonts w:ascii="Soberana Sans Light" w:hAnsi="Soberana Sans Light"/>
          <w:b/>
          <w:bCs/>
          <w:i w:val="0"/>
          <w:iCs w:val="0"/>
          <w:sz w:val="17"/>
          <w:szCs w:val="17"/>
          <w:lang w:val="es-ES"/>
        </w:rPr>
        <w:t>Estrategia 2.3 Revisar y definir programas y productos de crédito</w:t>
      </w:r>
      <w:bookmarkEnd w:id="10"/>
      <w:bookmarkEnd w:id="11"/>
      <w:r w:rsidR="00A17DD7">
        <w:rPr>
          <w:rFonts w:ascii="Soberana Sans Light" w:hAnsi="Soberana Sans Light"/>
          <w:b/>
          <w:bCs/>
          <w:i w:val="0"/>
          <w:iCs w:val="0"/>
          <w:sz w:val="17"/>
          <w:szCs w:val="17"/>
          <w:lang w:val="es-ES"/>
        </w:rPr>
        <w:t>.</w:t>
      </w:r>
    </w:p>
    <w:p w:rsidR="005A44DA" w:rsidRPr="005A44DA" w:rsidRDefault="005A44DA" w:rsidP="00680614">
      <w:pPr>
        <w:spacing w:before="120" w:after="120" w:line="220" w:lineRule="exact"/>
        <w:rPr>
          <w:lang w:val="es-ES" w:eastAsia="es-ES"/>
        </w:rPr>
      </w:pPr>
    </w:p>
    <w:p w:rsidR="00A30FF0" w:rsidRDefault="00A30FF0" w:rsidP="00680614">
      <w:pPr>
        <w:spacing w:before="120" w:after="120" w:line="220" w:lineRule="exact"/>
        <w:rPr>
          <w:lang w:val="es-ES" w:eastAsia="es-ES"/>
        </w:rPr>
      </w:pPr>
      <w:r>
        <w:rPr>
          <w:lang w:val="es-ES" w:eastAsia="es-ES"/>
        </w:rPr>
        <w:t xml:space="preserve">En </w:t>
      </w:r>
      <w:r w:rsidR="0055448F">
        <w:rPr>
          <w:lang w:val="es-ES" w:eastAsia="es-ES"/>
        </w:rPr>
        <w:t>relación</w:t>
      </w:r>
      <w:r>
        <w:rPr>
          <w:lang w:val="es-ES" w:eastAsia="es-ES"/>
        </w:rPr>
        <w:t xml:space="preserve"> a esta estrategia, se autorizaron las modificaciones a </w:t>
      </w:r>
      <w:r w:rsidRPr="00CC3F56">
        <w:rPr>
          <w:lang w:val="es-ES" w:eastAsia="es-ES"/>
        </w:rPr>
        <w:t>los Lineamientos para el Otorgamiento de Crédito,</w:t>
      </w:r>
      <w:r>
        <w:rPr>
          <w:lang w:val="es-ES" w:eastAsia="es-ES"/>
        </w:rPr>
        <w:t xml:space="preserve"> a</w:t>
      </w:r>
      <w:r w:rsidRPr="00CC3F56">
        <w:rPr>
          <w:lang w:val="es-ES" w:eastAsia="es-ES"/>
        </w:rPr>
        <w:t xml:space="preserve"> los Lineamientos para el Otorgamiento de Crédito a Intermediarios Financieros Rurales y </w:t>
      </w:r>
      <w:r>
        <w:rPr>
          <w:lang w:val="es-ES" w:eastAsia="es-ES"/>
        </w:rPr>
        <w:t xml:space="preserve">a </w:t>
      </w:r>
      <w:r w:rsidRPr="00CC3F56">
        <w:rPr>
          <w:lang w:val="es-ES" w:eastAsia="es-ES"/>
        </w:rPr>
        <w:t>los Lineamientos para la Recuperación y Liquidación, Reestructuración, Quitas y Quebrantos, incorporando medidas tendientes a facilitar el acceso y la recuperación del crédito.</w:t>
      </w:r>
    </w:p>
    <w:p w:rsidR="00680614" w:rsidRDefault="00680614" w:rsidP="00680614">
      <w:pPr>
        <w:spacing w:before="120" w:after="120" w:line="220" w:lineRule="exact"/>
        <w:rPr>
          <w:lang w:val="es-ES" w:eastAsia="es-ES"/>
        </w:rPr>
      </w:pPr>
    </w:p>
    <w:p w:rsidR="0018577B" w:rsidRDefault="0018577B" w:rsidP="00680614">
      <w:pPr>
        <w:spacing w:before="120" w:after="120" w:line="220" w:lineRule="exact"/>
      </w:pPr>
      <w:r>
        <w:t>Se agregó el Anexo de Capitalización Productiva Pecuaria PROFIGAN 2017 al Programa de Financiamientos para Proyectos con Mezcla de Recursos y se asignaron tasas accesibles para los proyectos de capitalización.</w:t>
      </w:r>
    </w:p>
    <w:p w:rsidR="00680614" w:rsidRPr="000609ED" w:rsidRDefault="00680614" w:rsidP="00680614">
      <w:pPr>
        <w:spacing w:before="120" w:after="120" w:line="220" w:lineRule="exact"/>
        <w:rPr>
          <w:lang w:val="es-ES" w:eastAsia="es-ES"/>
        </w:rPr>
      </w:pPr>
    </w:p>
    <w:p w:rsidR="00A30FF0" w:rsidRPr="000609ED" w:rsidRDefault="00A30FF0" w:rsidP="00680614">
      <w:pPr>
        <w:spacing w:before="120" w:after="120" w:line="220" w:lineRule="exact"/>
        <w:rPr>
          <w:lang w:val="es-ES" w:eastAsia="es-ES"/>
        </w:rPr>
      </w:pPr>
      <w:r>
        <w:rPr>
          <w:lang w:val="es-ES" w:eastAsia="es-ES"/>
        </w:rPr>
        <w:t>Adicionalmente</w:t>
      </w:r>
      <w:r w:rsidRPr="000609ED">
        <w:rPr>
          <w:lang w:val="es-ES" w:eastAsia="es-ES"/>
        </w:rPr>
        <w:t xml:space="preserve">, </w:t>
      </w:r>
      <w:r>
        <w:rPr>
          <w:lang w:val="es-ES" w:eastAsia="es-ES"/>
        </w:rPr>
        <w:t>s</w:t>
      </w:r>
      <w:r w:rsidRPr="00C61A63">
        <w:rPr>
          <w:lang w:val="es-ES" w:eastAsia="es-ES"/>
        </w:rPr>
        <w:t xml:space="preserve">e actualizó el Programa de Financiamiento para </w:t>
      </w:r>
      <w:r>
        <w:rPr>
          <w:lang w:val="es-ES" w:eastAsia="es-ES"/>
        </w:rPr>
        <w:t xml:space="preserve">EIF, </w:t>
      </w:r>
      <w:r w:rsidR="0055448F">
        <w:rPr>
          <w:lang w:val="es-ES" w:eastAsia="es-ES"/>
        </w:rPr>
        <w:t>para</w:t>
      </w:r>
      <w:r w:rsidRPr="00C61A63">
        <w:rPr>
          <w:lang w:val="es-ES" w:eastAsia="es-ES"/>
        </w:rPr>
        <w:t xml:space="preserve"> </w:t>
      </w:r>
      <w:r>
        <w:rPr>
          <w:lang w:val="es-ES" w:eastAsia="es-ES"/>
        </w:rPr>
        <w:t>prescindi</w:t>
      </w:r>
      <w:r w:rsidR="0055448F">
        <w:rPr>
          <w:lang w:val="es-ES" w:eastAsia="es-ES"/>
        </w:rPr>
        <w:t>r</w:t>
      </w:r>
      <w:r w:rsidRPr="00C61A63">
        <w:rPr>
          <w:lang w:val="es-ES" w:eastAsia="es-ES"/>
        </w:rPr>
        <w:t xml:space="preserve"> del anexo de Operaciones de Arrendamiento, </w:t>
      </w:r>
      <w:r>
        <w:rPr>
          <w:lang w:val="es-ES" w:eastAsia="es-ES"/>
        </w:rPr>
        <w:t xml:space="preserve">ya que </w:t>
      </w:r>
      <w:r w:rsidRPr="00C61A63">
        <w:rPr>
          <w:lang w:val="es-ES" w:eastAsia="es-ES"/>
        </w:rPr>
        <w:t>éstas se operarán mediante la normatividad establecida en el Manual de Normas y Políticas de Crédito.</w:t>
      </w:r>
    </w:p>
    <w:p w:rsidR="00A30FF0" w:rsidRDefault="00A30FF0" w:rsidP="00A30FF0">
      <w:pPr>
        <w:rPr>
          <w:b/>
        </w:rPr>
        <w:sectPr w:rsidR="00A30FF0" w:rsidSect="000F6ADC">
          <w:type w:val="continuous"/>
          <w:pgSz w:w="12240" w:h="15840" w:code="1"/>
          <w:pgMar w:top="2268" w:right="1418" w:bottom="1134" w:left="1418" w:header="0" w:footer="567" w:gutter="0"/>
          <w:cols w:num="2" w:space="454"/>
          <w:docGrid w:linePitch="360"/>
        </w:sectPr>
      </w:pPr>
    </w:p>
    <w:p w:rsidR="00A30FF0" w:rsidRDefault="005A44DA" w:rsidP="005A44DA">
      <w:pPr>
        <w:pStyle w:val="TITULO5SECCIN"/>
      </w:pPr>
      <w:r>
        <w:lastRenderedPageBreak/>
        <w:t>Avance</w:t>
      </w:r>
      <w:r w:rsidR="00A30FF0">
        <w:t xml:space="preserve"> de los indicadores</w:t>
      </w:r>
    </w:p>
    <w:p w:rsidR="005A44DA" w:rsidRPr="005A44DA" w:rsidRDefault="005A44DA" w:rsidP="005A44DA"/>
    <w:tbl>
      <w:tblPr>
        <w:tblW w:w="900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74"/>
        <w:gridCol w:w="1216"/>
        <w:gridCol w:w="931"/>
        <w:gridCol w:w="1088"/>
        <w:gridCol w:w="931"/>
        <w:gridCol w:w="1087"/>
        <w:gridCol w:w="1087"/>
        <w:gridCol w:w="1087"/>
      </w:tblGrid>
      <w:tr w:rsidR="00A30FF0" w:rsidRPr="00676990" w:rsidTr="00590A31">
        <w:trPr>
          <w:trHeight w:val="395"/>
          <w:jc w:val="center"/>
        </w:trPr>
        <w:tc>
          <w:tcPr>
            <w:tcW w:w="1574" w:type="dxa"/>
            <w:shd w:val="clear" w:color="auto" w:fill="D9D9D9"/>
            <w:vAlign w:val="center"/>
          </w:tcPr>
          <w:p w:rsidR="00A30FF0" w:rsidRPr="00676990" w:rsidRDefault="00A30FF0" w:rsidP="000F6ADC">
            <w:pPr>
              <w:autoSpaceDE w:val="0"/>
              <w:autoSpaceDN w:val="0"/>
              <w:adjustRightInd w:val="0"/>
              <w:spacing w:before="160" w:after="160" w:line="240" w:lineRule="auto"/>
              <w:jc w:val="center"/>
              <w:rPr>
                <w:rFonts w:cs="ACaslonPro-Bold"/>
                <w:b/>
                <w:bCs/>
                <w:sz w:val="16"/>
                <w:szCs w:val="16"/>
              </w:rPr>
            </w:pPr>
            <w:r w:rsidRPr="00676990">
              <w:rPr>
                <w:rFonts w:cs="ACaslonPro-Bold"/>
                <w:b/>
                <w:bCs/>
                <w:sz w:val="16"/>
                <w:szCs w:val="16"/>
              </w:rPr>
              <w:t>Nombre</w:t>
            </w:r>
          </w:p>
        </w:tc>
        <w:tc>
          <w:tcPr>
            <w:tcW w:w="1216" w:type="dxa"/>
            <w:shd w:val="clear" w:color="auto" w:fill="D9D9D9"/>
            <w:vAlign w:val="center"/>
          </w:tcPr>
          <w:p w:rsidR="00A30FF0" w:rsidRPr="00676990" w:rsidRDefault="00A30FF0" w:rsidP="000F6ADC">
            <w:pPr>
              <w:autoSpaceDE w:val="0"/>
              <w:autoSpaceDN w:val="0"/>
              <w:adjustRightInd w:val="0"/>
              <w:spacing w:before="160" w:after="160" w:line="240" w:lineRule="auto"/>
              <w:jc w:val="center"/>
              <w:rPr>
                <w:rFonts w:cs="ACaslonPro-Bold"/>
                <w:b/>
                <w:bCs/>
                <w:sz w:val="16"/>
                <w:szCs w:val="16"/>
              </w:rPr>
            </w:pPr>
            <w:r w:rsidRPr="00676990">
              <w:rPr>
                <w:rFonts w:cs="ACaslonPro-Bold"/>
                <w:b/>
                <w:bCs/>
                <w:sz w:val="16"/>
                <w:szCs w:val="16"/>
              </w:rPr>
              <w:t>Línea base</w:t>
            </w:r>
          </w:p>
        </w:tc>
        <w:tc>
          <w:tcPr>
            <w:tcW w:w="931" w:type="dxa"/>
            <w:shd w:val="clear" w:color="auto" w:fill="D9D9D9"/>
            <w:vAlign w:val="center"/>
          </w:tcPr>
          <w:p w:rsidR="00A30FF0" w:rsidRPr="00676990" w:rsidRDefault="00A30FF0" w:rsidP="000F6ADC">
            <w:pPr>
              <w:autoSpaceDE w:val="0"/>
              <w:autoSpaceDN w:val="0"/>
              <w:adjustRightInd w:val="0"/>
              <w:spacing w:before="160" w:after="160" w:line="240" w:lineRule="auto"/>
              <w:jc w:val="center"/>
              <w:rPr>
                <w:rFonts w:cs="ACaslonPro-Bold"/>
                <w:b/>
                <w:bCs/>
                <w:sz w:val="16"/>
                <w:szCs w:val="16"/>
              </w:rPr>
            </w:pPr>
            <w:r w:rsidRPr="00676990">
              <w:rPr>
                <w:rFonts w:cs="ACaslonPro-Bold"/>
                <w:b/>
                <w:bCs/>
                <w:sz w:val="16"/>
                <w:szCs w:val="16"/>
              </w:rPr>
              <w:t>2013</w:t>
            </w:r>
          </w:p>
        </w:tc>
        <w:tc>
          <w:tcPr>
            <w:tcW w:w="1088" w:type="dxa"/>
            <w:shd w:val="clear" w:color="auto" w:fill="D9D9D9"/>
            <w:vAlign w:val="center"/>
          </w:tcPr>
          <w:p w:rsidR="00A30FF0" w:rsidRPr="00676990" w:rsidRDefault="00A30FF0" w:rsidP="000F6ADC">
            <w:pPr>
              <w:autoSpaceDE w:val="0"/>
              <w:autoSpaceDN w:val="0"/>
              <w:adjustRightInd w:val="0"/>
              <w:spacing w:before="160" w:after="160" w:line="240" w:lineRule="auto"/>
              <w:jc w:val="center"/>
              <w:rPr>
                <w:rFonts w:cs="ACaslonPro-Bold"/>
                <w:b/>
                <w:bCs/>
                <w:sz w:val="16"/>
                <w:szCs w:val="16"/>
              </w:rPr>
            </w:pPr>
            <w:r w:rsidRPr="00676990">
              <w:rPr>
                <w:rFonts w:cs="ACaslonPro-Bold"/>
                <w:b/>
                <w:bCs/>
                <w:sz w:val="16"/>
                <w:szCs w:val="16"/>
              </w:rPr>
              <w:t>2014</w:t>
            </w:r>
          </w:p>
        </w:tc>
        <w:tc>
          <w:tcPr>
            <w:tcW w:w="931" w:type="dxa"/>
            <w:shd w:val="clear" w:color="auto" w:fill="D9D9D9"/>
            <w:vAlign w:val="center"/>
          </w:tcPr>
          <w:p w:rsidR="00A30FF0" w:rsidRPr="00676990" w:rsidRDefault="00A30FF0" w:rsidP="000F6ADC">
            <w:pPr>
              <w:autoSpaceDE w:val="0"/>
              <w:autoSpaceDN w:val="0"/>
              <w:adjustRightInd w:val="0"/>
              <w:spacing w:before="160" w:after="160" w:line="240" w:lineRule="auto"/>
              <w:jc w:val="center"/>
              <w:rPr>
                <w:rFonts w:cs="ACaslonPro-Bold"/>
                <w:b/>
                <w:bCs/>
                <w:sz w:val="16"/>
                <w:szCs w:val="16"/>
              </w:rPr>
            </w:pPr>
            <w:r w:rsidRPr="00676990">
              <w:rPr>
                <w:rFonts w:cs="ACaslonPro-Bold"/>
                <w:b/>
                <w:bCs/>
                <w:sz w:val="16"/>
                <w:szCs w:val="16"/>
              </w:rPr>
              <w:t>2015</w:t>
            </w:r>
          </w:p>
        </w:tc>
        <w:tc>
          <w:tcPr>
            <w:tcW w:w="1087" w:type="dxa"/>
            <w:shd w:val="clear" w:color="auto" w:fill="D9D9D9"/>
            <w:vAlign w:val="center"/>
          </w:tcPr>
          <w:p w:rsidR="00A30FF0" w:rsidRPr="00676990" w:rsidRDefault="00A30FF0" w:rsidP="000F6ADC">
            <w:pPr>
              <w:autoSpaceDE w:val="0"/>
              <w:autoSpaceDN w:val="0"/>
              <w:adjustRightInd w:val="0"/>
              <w:spacing w:before="160" w:after="160" w:line="240" w:lineRule="auto"/>
              <w:jc w:val="center"/>
              <w:rPr>
                <w:rFonts w:cs="ACaslonPro-Bold"/>
                <w:b/>
                <w:bCs/>
                <w:sz w:val="16"/>
                <w:szCs w:val="16"/>
              </w:rPr>
            </w:pPr>
            <w:r>
              <w:rPr>
                <w:rFonts w:cs="ACaslonPro-Bold"/>
                <w:b/>
                <w:bCs/>
                <w:sz w:val="16"/>
                <w:szCs w:val="16"/>
              </w:rPr>
              <w:t>2016</w:t>
            </w:r>
          </w:p>
        </w:tc>
        <w:tc>
          <w:tcPr>
            <w:tcW w:w="1087" w:type="dxa"/>
            <w:shd w:val="clear" w:color="auto" w:fill="D9D9D9"/>
            <w:vAlign w:val="center"/>
          </w:tcPr>
          <w:p w:rsidR="00A30FF0" w:rsidRPr="00676990" w:rsidRDefault="00A30FF0" w:rsidP="000F6ADC">
            <w:pPr>
              <w:autoSpaceDE w:val="0"/>
              <w:autoSpaceDN w:val="0"/>
              <w:adjustRightInd w:val="0"/>
              <w:spacing w:before="160" w:after="160" w:line="240" w:lineRule="auto"/>
              <w:jc w:val="center"/>
              <w:rPr>
                <w:rFonts w:cs="ACaslonPro-Bold"/>
                <w:b/>
                <w:bCs/>
                <w:sz w:val="16"/>
                <w:szCs w:val="16"/>
              </w:rPr>
            </w:pPr>
            <w:r>
              <w:rPr>
                <w:rFonts w:cs="ACaslonPro-Bold"/>
                <w:b/>
                <w:bCs/>
                <w:sz w:val="16"/>
                <w:szCs w:val="16"/>
              </w:rPr>
              <w:t>2017</w:t>
            </w:r>
          </w:p>
        </w:tc>
        <w:tc>
          <w:tcPr>
            <w:tcW w:w="1087" w:type="dxa"/>
            <w:shd w:val="clear" w:color="auto" w:fill="D9D9D9"/>
            <w:vAlign w:val="center"/>
          </w:tcPr>
          <w:p w:rsidR="00A30FF0" w:rsidRPr="00676990" w:rsidRDefault="00A30FF0" w:rsidP="000F6ADC">
            <w:pPr>
              <w:autoSpaceDE w:val="0"/>
              <w:autoSpaceDN w:val="0"/>
              <w:adjustRightInd w:val="0"/>
              <w:spacing w:before="160" w:after="160" w:line="240" w:lineRule="auto"/>
              <w:jc w:val="center"/>
              <w:rPr>
                <w:rFonts w:cs="ACaslonPro-Bold"/>
                <w:b/>
                <w:bCs/>
                <w:sz w:val="16"/>
                <w:szCs w:val="16"/>
              </w:rPr>
            </w:pPr>
            <w:r w:rsidRPr="00676990">
              <w:rPr>
                <w:rFonts w:cs="ACaslonPro-Bold"/>
                <w:b/>
                <w:bCs/>
                <w:sz w:val="16"/>
                <w:szCs w:val="16"/>
              </w:rPr>
              <w:t>Meta 2018</w:t>
            </w:r>
          </w:p>
        </w:tc>
      </w:tr>
      <w:tr w:rsidR="00A30FF0" w:rsidRPr="00676990" w:rsidTr="00590A31">
        <w:trPr>
          <w:trHeight w:val="876"/>
          <w:jc w:val="center"/>
        </w:trPr>
        <w:tc>
          <w:tcPr>
            <w:tcW w:w="1574" w:type="dxa"/>
            <w:shd w:val="clear" w:color="auto" w:fill="auto"/>
            <w:vAlign w:val="center"/>
          </w:tcPr>
          <w:p w:rsidR="00A30FF0" w:rsidRDefault="00A30FF0" w:rsidP="000F6ADC">
            <w:pPr>
              <w:jc w:val="center"/>
              <w:rPr>
                <w:rFonts w:ascii="Soberana Sans" w:hAnsi="Soberana Sans"/>
                <w:color w:val="000000"/>
                <w:sz w:val="16"/>
                <w:szCs w:val="15"/>
              </w:rPr>
            </w:pPr>
            <w:r w:rsidRPr="00676990">
              <w:rPr>
                <w:rFonts w:ascii="Soberana Sans" w:hAnsi="Soberana Sans"/>
                <w:color w:val="000000"/>
                <w:sz w:val="16"/>
                <w:szCs w:val="15"/>
              </w:rPr>
              <w:t>Proporción de créditos directos otorgados a mediano y largo plazo.</w:t>
            </w:r>
          </w:p>
          <w:p w:rsidR="00A30FF0" w:rsidRPr="00676990" w:rsidRDefault="00A30FF0" w:rsidP="000F6ADC">
            <w:pPr>
              <w:jc w:val="center"/>
              <w:rPr>
                <w:rFonts w:ascii="Soberana Sans" w:hAnsi="Soberana Sans"/>
                <w:color w:val="000000"/>
                <w:sz w:val="16"/>
                <w:szCs w:val="15"/>
              </w:rPr>
            </w:pPr>
            <w:r w:rsidRPr="00676990">
              <w:rPr>
                <w:rFonts w:ascii="Soberana Sans" w:hAnsi="Soberana Sans"/>
                <w:color w:val="000000"/>
                <w:sz w:val="16"/>
                <w:szCs w:val="15"/>
              </w:rPr>
              <w:t>(Anual)</w:t>
            </w:r>
          </w:p>
        </w:tc>
        <w:tc>
          <w:tcPr>
            <w:tcW w:w="1216" w:type="dxa"/>
            <w:shd w:val="clear" w:color="auto" w:fill="auto"/>
            <w:vAlign w:val="center"/>
          </w:tcPr>
          <w:p w:rsidR="00A30FF0" w:rsidRDefault="00A30FF0" w:rsidP="000F6ADC">
            <w:pPr>
              <w:jc w:val="center"/>
              <w:rPr>
                <w:rFonts w:ascii="Soberana Sans" w:hAnsi="Soberana Sans"/>
                <w:color w:val="000000"/>
                <w:sz w:val="16"/>
                <w:szCs w:val="15"/>
              </w:rPr>
            </w:pPr>
            <w:r w:rsidRPr="00676990">
              <w:rPr>
                <w:rFonts w:ascii="Soberana Sans" w:hAnsi="Soberana Sans"/>
                <w:color w:val="000000"/>
                <w:sz w:val="16"/>
                <w:szCs w:val="15"/>
              </w:rPr>
              <w:t>37.4%</w:t>
            </w:r>
          </w:p>
          <w:p w:rsidR="00A30FF0" w:rsidRPr="00676990" w:rsidRDefault="00A30FF0" w:rsidP="000F6ADC">
            <w:pPr>
              <w:jc w:val="center"/>
              <w:rPr>
                <w:rFonts w:ascii="Soberana Sans" w:hAnsi="Soberana Sans"/>
                <w:color w:val="000000"/>
                <w:sz w:val="16"/>
                <w:szCs w:val="15"/>
              </w:rPr>
            </w:pPr>
            <w:r w:rsidRPr="00676990">
              <w:rPr>
                <w:rFonts w:ascii="Soberana Sans" w:hAnsi="Soberana Sans"/>
                <w:color w:val="000000"/>
                <w:sz w:val="16"/>
                <w:szCs w:val="15"/>
              </w:rPr>
              <w:t>(2013)</w:t>
            </w:r>
          </w:p>
        </w:tc>
        <w:tc>
          <w:tcPr>
            <w:tcW w:w="931" w:type="dxa"/>
            <w:vAlign w:val="center"/>
          </w:tcPr>
          <w:p w:rsidR="00A30FF0" w:rsidRPr="00676990" w:rsidRDefault="00A30FF0" w:rsidP="000F6ADC">
            <w:pPr>
              <w:jc w:val="center"/>
              <w:rPr>
                <w:rFonts w:ascii="Soberana Sans" w:hAnsi="Soberana Sans"/>
                <w:color w:val="000000"/>
                <w:sz w:val="16"/>
                <w:szCs w:val="15"/>
              </w:rPr>
            </w:pPr>
            <w:r w:rsidRPr="00676990">
              <w:rPr>
                <w:rFonts w:ascii="Soberana Sans" w:hAnsi="Soberana Sans"/>
                <w:color w:val="000000"/>
                <w:sz w:val="16"/>
                <w:szCs w:val="15"/>
              </w:rPr>
              <w:t>N/A</w:t>
            </w:r>
          </w:p>
        </w:tc>
        <w:tc>
          <w:tcPr>
            <w:tcW w:w="1088" w:type="dxa"/>
            <w:shd w:val="clear" w:color="auto" w:fill="auto"/>
            <w:vAlign w:val="center"/>
          </w:tcPr>
          <w:p w:rsidR="00A30FF0" w:rsidRPr="00676990" w:rsidRDefault="00A30FF0" w:rsidP="000F6ADC">
            <w:pPr>
              <w:jc w:val="center"/>
              <w:rPr>
                <w:rFonts w:ascii="Soberana Sans" w:hAnsi="Soberana Sans"/>
                <w:color w:val="000000"/>
                <w:sz w:val="16"/>
                <w:szCs w:val="15"/>
              </w:rPr>
            </w:pPr>
            <w:r w:rsidRPr="00676990">
              <w:rPr>
                <w:rFonts w:ascii="Soberana Sans" w:hAnsi="Soberana Sans"/>
                <w:color w:val="000000"/>
                <w:sz w:val="16"/>
                <w:szCs w:val="15"/>
              </w:rPr>
              <w:t>36.7%</w:t>
            </w:r>
          </w:p>
        </w:tc>
        <w:tc>
          <w:tcPr>
            <w:tcW w:w="931" w:type="dxa"/>
            <w:shd w:val="clear" w:color="auto" w:fill="auto"/>
            <w:vAlign w:val="center"/>
          </w:tcPr>
          <w:p w:rsidR="00A30FF0" w:rsidRPr="00676990" w:rsidRDefault="00A30FF0" w:rsidP="000F6ADC">
            <w:pPr>
              <w:jc w:val="center"/>
              <w:rPr>
                <w:rFonts w:ascii="Soberana Sans" w:hAnsi="Soberana Sans"/>
                <w:color w:val="000000"/>
                <w:sz w:val="16"/>
                <w:szCs w:val="15"/>
              </w:rPr>
            </w:pPr>
            <w:r w:rsidRPr="00676990">
              <w:rPr>
                <w:rFonts w:ascii="Soberana Sans" w:hAnsi="Soberana Sans"/>
                <w:color w:val="000000"/>
                <w:sz w:val="16"/>
                <w:szCs w:val="15"/>
              </w:rPr>
              <w:t>46.7%</w:t>
            </w:r>
          </w:p>
        </w:tc>
        <w:tc>
          <w:tcPr>
            <w:tcW w:w="1087" w:type="dxa"/>
            <w:vAlign w:val="center"/>
          </w:tcPr>
          <w:p w:rsidR="00A30FF0" w:rsidRPr="00676990" w:rsidRDefault="00A30FF0" w:rsidP="000F6ADC">
            <w:pPr>
              <w:jc w:val="center"/>
              <w:rPr>
                <w:rFonts w:ascii="Soberana Sans" w:hAnsi="Soberana Sans"/>
                <w:color w:val="000000"/>
                <w:sz w:val="16"/>
                <w:szCs w:val="15"/>
              </w:rPr>
            </w:pPr>
            <w:r>
              <w:rPr>
                <w:rFonts w:ascii="Soberana Sans" w:hAnsi="Soberana Sans"/>
                <w:color w:val="000000"/>
                <w:sz w:val="16"/>
                <w:szCs w:val="15"/>
              </w:rPr>
              <w:t>47.4%</w:t>
            </w:r>
          </w:p>
        </w:tc>
        <w:tc>
          <w:tcPr>
            <w:tcW w:w="1087" w:type="dxa"/>
            <w:vAlign w:val="center"/>
          </w:tcPr>
          <w:p w:rsidR="00A30FF0" w:rsidRPr="00676990" w:rsidRDefault="00A30FF0" w:rsidP="000F6ADC">
            <w:pPr>
              <w:jc w:val="center"/>
              <w:rPr>
                <w:rFonts w:ascii="Soberana Sans" w:hAnsi="Soberana Sans"/>
                <w:color w:val="000000"/>
                <w:sz w:val="16"/>
                <w:szCs w:val="15"/>
              </w:rPr>
            </w:pPr>
            <w:r>
              <w:rPr>
                <w:rFonts w:ascii="Soberana Sans" w:hAnsi="Soberana Sans"/>
                <w:color w:val="000000"/>
                <w:sz w:val="16"/>
                <w:szCs w:val="15"/>
              </w:rPr>
              <w:t>45.8%</w:t>
            </w:r>
          </w:p>
        </w:tc>
        <w:tc>
          <w:tcPr>
            <w:tcW w:w="1087" w:type="dxa"/>
            <w:shd w:val="clear" w:color="auto" w:fill="auto"/>
            <w:vAlign w:val="center"/>
          </w:tcPr>
          <w:p w:rsidR="00A30FF0" w:rsidRPr="00676990" w:rsidRDefault="00A30FF0" w:rsidP="000F6ADC">
            <w:pPr>
              <w:jc w:val="center"/>
              <w:rPr>
                <w:rFonts w:ascii="Soberana Sans" w:hAnsi="Soberana Sans"/>
                <w:color w:val="000000"/>
                <w:sz w:val="16"/>
                <w:szCs w:val="15"/>
              </w:rPr>
            </w:pPr>
            <w:r w:rsidRPr="00676990">
              <w:rPr>
                <w:rFonts w:ascii="Soberana Sans" w:hAnsi="Soberana Sans"/>
                <w:color w:val="000000"/>
                <w:sz w:val="16"/>
                <w:szCs w:val="15"/>
              </w:rPr>
              <w:t>50%</w:t>
            </w:r>
          </w:p>
        </w:tc>
      </w:tr>
    </w:tbl>
    <w:p w:rsidR="00A30FF0" w:rsidRPr="00676990" w:rsidRDefault="00A30FF0" w:rsidP="00A30FF0">
      <w:pPr>
        <w:spacing w:after="0" w:line="240" w:lineRule="auto"/>
        <w:ind w:left="142"/>
        <w:rPr>
          <w:lang w:val="es-ES_tradnl"/>
        </w:rPr>
      </w:pPr>
      <w:r w:rsidRPr="00676990">
        <w:rPr>
          <w:lang w:val="es-ES_tradnl"/>
        </w:rPr>
        <w:t>Nota:</w:t>
      </w:r>
    </w:p>
    <w:p w:rsidR="00A30FF0" w:rsidRPr="00B27353" w:rsidRDefault="00A30FF0" w:rsidP="00A30FF0">
      <w:pPr>
        <w:spacing w:after="0" w:line="240" w:lineRule="auto"/>
        <w:rPr>
          <w:lang w:val="es-ES_tradnl"/>
        </w:rPr>
      </w:pPr>
      <w:r w:rsidRPr="00B27353">
        <w:rPr>
          <w:lang w:val="es-ES_tradnl"/>
        </w:rPr>
        <w:t>­ NA: No aplica, en tanto que, derivado del año de la línea base y la frecuencia de medición del indicador, no corresponde reportar valor observado del indicador para este año.</w:t>
      </w:r>
    </w:p>
    <w:p w:rsidR="00A30FF0" w:rsidRDefault="00A30FF0" w:rsidP="00A30FF0">
      <w:pPr>
        <w:spacing w:line="240" w:lineRule="auto"/>
        <w:rPr>
          <w:lang w:val="es-ES_tradnl"/>
        </w:rPr>
      </w:pPr>
    </w:p>
    <w:p w:rsidR="00A30FF0" w:rsidRPr="00676990" w:rsidRDefault="00A30FF0" w:rsidP="00A30FF0">
      <w:pPr>
        <w:pStyle w:val="TITULO2INTRODUCCION"/>
        <w:jc w:val="both"/>
        <w:rPr>
          <w:sz w:val="24"/>
          <w:szCs w:val="24"/>
        </w:rPr>
        <w:sectPr w:rsidR="00A30FF0" w:rsidRPr="00676990" w:rsidSect="00EC16CB">
          <w:pgSz w:w="12240" w:h="15840" w:code="1"/>
          <w:pgMar w:top="2268" w:right="1418" w:bottom="1134" w:left="1418" w:header="0" w:footer="567" w:gutter="0"/>
          <w:cols w:space="454"/>
          <w:docGrid w:linePitch="360"/>
        </w:sectPr>
      </w:pPr>
    </w:p>
    <w:p w:rsidR="00A30FF0" w:rsidRDefault="00A30FF0" w:rsidP="00A30FF0">
      <w:pPr>
        <w:autoSpaceDE w:val="0"/>
        <w:autoSpaceDN w:val="0"/>
        <w:adjustRightInd w:val="0"/>
        <w:spacing w:before="160" w:after="160" w:line="240" w:lineRule="auto"/>
        <w:rPr>
          <w:rFonts w:ascii="Soberana Sans" w:hAnsi="Soberana Sans" w:cs="ACaslonPro-Regular"/>
          <w:b/>
          <w:sz w:val="24"/>
          <w:szCs w:val="24"/>
          <w:lang w:val="es-ES_tradnl"/>
        </w:rPr>
        <w:sectPr w:rsidR="00A30FF0" w:rsidSect="000F6ADC">
          <w:footerReference w:type="even" r:id="rId16"/>
          <w:footerReference w:type="default" r:id="rId17"/>
          <w:type w:val="continuous"/>
          <w:pgSz w:w="12240" w:h="15840" w:code="1"/>
          <w:pgMar w:top="2268" w:right="1418" w:bottom="1134" w:left="1418" w:header="0" w:footer="567" w:gutter="0"/>
          <w:cols w:space="454"/>
          <w:docGrid w:linePitch="360"/>
        </w:sectPr>
      </w:pPr>
    </w:p>
    <w:p w:rsidR="00A30FF0" w:rsidRDefault="00A30FF0" w:rsidP="00A30FF0">
      <w:pPr>
        <w:pStyle w:val="TITULO4OBJETIVO"/>
      </w:pPr>
    </w:p>
    <w:p w:rsidR="00A30FF0" w:rsidRDefault="00A30FF0" w:rsidP="00A30FF0">
      <w:pPr>
        <w:pStyle w:val="TITULO4OBJETIVO"/>
      </w:pPr>
    </w:p>
    <w:p w:rsidR="00A30FF0" w:rsidRDefault="00A30FF0" w:rsidP="00A30FF0">
      <w:pPr>
        <w:pStyle w:val="TITULO4OBJETIVO"/>
      </w:pPr>
    </w:p>
    <w:p w:rsidR="00A30FF0" w:rsidRDefault="00A30FF0" w:rsidP="00A30FF0">
      <w:pPr>
        <w:pStyle w:val="TITULO4OBJETIVO"/>
      </w:pPr>
    </w:p>
    <w:p w:rsidR="00A30FF0" w:rsidRDefault="00A30FF0" w:rsidP="00A30FF0">
      <w:pPr>
        <w:pStyle w:val="TITULO4OBJETIVO"/>
      </w:pPr>
    </w:p>
    <w:p w:rsidR="00A30FF0" w:rsidRDefault="00A30FF0" w:rsidP="00A30FF0">
      <w:pPr>
        <w:pStyle w:val="TITULO4OBJETIVO"/>
      </w:pPr>
    </w:p>
    <w:p w:rsidR="00A30FF0" w:rsidRDefault="00A30FF0" w:rsidP="00A30FF0">
      <w:pPr>
        <w:pStyle w:val="TITULO4OBJETIVO"/>
      </w:pPr>
    </w:p>
    <w:p w:rsidR="00A30FF0" w:rsidRDefault="00A30FF0" w:rsidP="00A30FF0">
      <w:pPr>
        <w:pStyle w:val="TITULO4OBJETIVO"/>
      </w:pPr>
    </w:p>
    <w:p w:rsidR="00A30FF0" w:rsidRDefault="00A30FF0" w:rsidP="00A30FF0">
      <w:pPr>
        <w:pStyle w:val="TITULO4OBJETIVO"/>
      </w:pPr>
    </w:p>
    <w:p w:rsidR="00A30FF0" w:rsidRDefault="00A30FF0" w:rsidP="00A30FF0">
      <w:pPr>
        <w:pStyle w:val="TITULO4OBJETIVO"/>
      </w:pPr>
    </w:p>
    <w:p w:rsidR="00A30FF0" w:rsidRDefault="00A30FF0" w:rsidP="00A30FF0">
      <w:pPr>
        <w:pStyle w:val="TITULO4OBJETIVO"/>
      </w:pPr>
    </w:p>
    <w:p w:rsidR="00A30FF0" w:rsidRDefault="00A30FF0" w:rsidP="00A30FF0">
      <w:pPr>
        <w:pStyle w:val="TITULO4OBJETIVO"/>
      </w:pPr>
    </w:p>
    <w:p w:rsidR="00A30FF0" w:rsidRDefault="00A30FF0" w:rsidP="00A30FF0">
      <w:pPr>
        <w:pStyle w:val="TITULO4OBJETIVO"/>
      </w:pPr>
    </w:p>
    <w:p w:rsidR="00A30FF0" w:rsidRDefault="00A30FF0" w:rsidP="00A30FF0">
      <w:pPr>
        <w:pStyle w:val="TITULO4OBJETIVO"/>
      </w:pPr>
    </w:p>
    <w:p w:rsidR="00A30FF0" w:rsidRDefault="00A30FF0" w:rsidP="00A30FF0">
      <w:pPr>
        <w:pStyle w:val="TITULO4OBJETIVO"/>
      </w:pPr>
    </w:p>
    <w:p w:rsidR="00A30FF0" w:rsidRDefault="00A30FF0" w:rsidP="00A30FF0">
      <w:pPr>
        <w:pStyle w:val="TITULO4OBJETIVO"/>
      </w:pPr>
    </w:p>
    <w:p w:rsidR="00A30FF0" w:rsidRDefault="00A30FF0" w:rsidP="00A30FF0">
      <w:pPr>
        <w:pStyle w:val="TITULO4OBJETIVO"/>
      </w:pPr>
    </w:p>
    <w:p w:rsidR="00A30FF0" w:rsidRDefault="00A30FF0" w:rsidP="00A30FF0">
      <w:pPr>
        <w:pStyle w:val="TITULO4OBJETIVO"/>
      </w:pPr>
    </w:p>
    <w:p w:rsidR="00A30FF0" w:rsidRDefault="00A30FF0" w:rsidP="00A30FF0">
      <w:pPr>
        <w:pStyle w:val="TITULO4OBJETIVO"/>
      </w:pPr>
    </w:p>
    <w:p w:rsidR="00A30FF0" w:rsidRDefault="00A30FF0" w:rsidP="00A30FF0">
      <w:pPr>
        <w:pStyle w:val="TITULO4OBJETIVO"/>
      </w:pPr>
    </w:p>
    <w:p w:rsidR="00A30FF0" w:rsidRDefault="00A30FF0" w:rsidP="00A30FF0">
      <w:pPr>
        <w:pStyle w:val="TITULO4OBJETIVO"/>
      </w:pPr>
    </w:p>
    <w:p w:rsidR="00A30FF0" w:rsidRDefault="00A30FF0" w:rsidP="00A30FF0">
      <w:pPr>
        <w:pStyle w:val="TITULO4OBJETIVO"/>
      </w:pPr>
    </w:p>
    <w:p w:rsidR="00A30FF0" w:rsidRDefault="00A30FF0" w:rsidP="00A30FF0">
      <w:pPr>
        <w:pStyle w:val="TITULO4OBJETIVO"/>
      </w:pPr>
    </w:p>
    <w:p w:rsidR="00A30FF0" w:rsidRDefault="00A30FF0" w:rsidP="00A30FF0">
      <w:pPr>
        <w:pStyle w:val="TITULO4OBJETIVO"/>
      </w:pPr>
    </w:p>
    <w:p w:rsidR="00A30FF0" w:rsidRDefault="00A30FF0" w:rsidP="00A30FF0">
      <w:pPr>
        <w:pStyle w:val="TITULO4OBJETIVO"/>
      </w:pPr>
    </w:p>
    <w:p w:rsidR="00A30FF0" w:rsidRDefault="00A30FF0" w:rsidP="00A30FF0">
      <w:pPr>
        <w:pStyle w:val="TITULO4OBJETIVO"/>
      </w:pPr>
    </w:p>
    <w:p w:rsidR="00A30FF0" w:rsidRDefault="00A30FF0" w:rsidP="00A30FF0">
      <w:pPr>
        <w:pStyle w:val="TITULO4OBJETIVO"/>
      </w:pPr>
    </w:p>
    <w:p w:rsidR="00A30FF0" w:rsidRDefault="00A30FF0" w:rsidP="00A30FF0">
      <w:pPr>
        <w:pStyle w:val="TITULO4OBJETIVO"/>
      </w:pPr>
    </w:p>
    <w:p w:rsidR="00A30FF0" w:rsidRDefault="00A30FF0" w:rsidP="00A30FF0">
      <w:pPr>
        <w:pStyle w:val="TITULO4OBJETIVO"/>
      </w:pPr>
    </w:p>
    <w:p w:rsidR="00A30FF0" w:rsidRDefault="00A30FF0" w:rsidP="00A30FF0">
      <w:pPr>
        <w:pStyle w:val="TITULO4OBJETIVO"/>
      </w:pPr>
    </w:p>
    <w:p w:rsidR="00A30FF0" w:rsidRDefault="00A30FF0" w:rsidP="00A30FF0">
      <w:pPr>
        <w:pStyle w:val="TITULO4OBJETIVO"/>
      </w:pPr>
    </w:p>
    <w:p w:rsidR="00A30FF0" w:rsidRDefault="00A30FF0" w:rsidP="00A30FF0">
      <w:pPr>
        <w:pStyle w:val="TITULO4OBJETIVO"/>
      </w:pPr>
    </w:p>
    <w:p w:rsidR="00A30FF0" w:rsidRDefault="00A30FF0" w:rsidP="008616B5">
      <w:pPr>
        <w:pStyle w:val="TITULO4OBJETIVO"/>
        <w:jc w:val="both"/>
      </w:pPr>
      <w:r w:rsidRPr="00E82BE7">
        <w:lastRenderedPageBreak/>
        <w:t xml:space="preserve">Objetivo 3. Incrementar </w:t>
      </w:r>
      <w:r>
        <w:t>la oferta financiera con especial énfasis en pequeños productores.</w:t>
      </w:r>
    </w:p>
    <w:p w:rsidR="006171FC" w:rsidRPr="006171FC" w:rsidRDefault="006171FC" w:rsidP="00680614">
      <w:pPr>
        <w:spacing w:before="120" w:after="120" w:line="220" w:lineRule="exact"/>
      </w:pPr>
    </w:p>
    <w:p w:rsidR="00A30FF0" w:rsidRDefault="00A30FF0" w:rsidP="00680614">
      <w:pPr>
        <w:spacing w:before="120" w:after="120" w:line="220" w:lineRule="exact"/>
      </w:pPr>
      <w:r>
        <w:t xml:space="preserve">La diversificación en la oferta financiera focalizada a los pequeños productores, ha permitido que éstos tengan acceso a recursos y servicios financieros de forma oportuna, con condiciones preferenciales, aunado a trámites y requisitos accesibles. Esto contribuye a mejorar su capacidad de producción y mejorar su condición económica. </w:t>
      </w:r>
    </w:p>
    <w:p w:rsidR="00A30FF0" w:rsidRDefault="00A30FF0" w:rsidP="00680614">
      <w:pPr>
        <w:pStyle w:val="TITULO5SECCIN"/>
        <w:spacing w:before="120" w:after="120" w:line="220" w:lineRule="exact"/>
        <w:jc w:val="both"/>
      </w:pPr>
    </w:p>
    <w:p w:rsidR="00A30FF0" w:rsidRDefault="00A30FF0" w:rsidP="00680614">
      <w:pPr>
        <w:pStyle w:val="TITULO5SECCIN"/>
        <w:spacing w:before="120" w:after="120" w:line="220" w:lineRule="exact"/>
        <w:jc w:val="both"/>
      </w:pPr>
      <w:r>
        <w:t>Resultados</w:t>
      </w:r>
    </w:p>
    <w:p w:rsidR="006171FC" w:rsidRPr="006171FC" w:rsidRDefault="006171FC" w:rsidP="00680614">
      <w:pPr>
        <w:spacing w:before="120" w:after="120" w:line="220" w:lineRule="exact"/>
      </w:pPr>
    </w:p>
    <w:p w:rsidR="00A30FF0" w:rsidRDefault="00A30FF0" w:rsidP="00680614">
      <w:pPr>
        <w:spacing w:before="120" w:after="120" w:line="220" w:lineRule="exact"/>
        <w:rPr>
          <w:szCs w:val="17"/>
        </w:rPr>
      </w:pPr>
      <w:r>
        <w:rPr>
          <w:szCs w:val="17"/>
        </w:rPr>
        <w:t xml:space="preserve">En 2017 a través del Programa de Financiamiento para Pequeños Productores, se ha otorgado crédito por $13,193 mdp, en beneficio de 134,673 productores, de los cuales el 29% correspondieron a mujeres. </w:t>
      </w:r>
    </w:p>
    <w:p w:rsidR="00680614" w:rsidRDefault="00680614" w:rsidP="00680614">
      <w:pPr>
        <w:spacing w:before="120" w:after="120" w:line="220" w:lineRule="exact"/>
        <w:rPr>
          <w:szCs w:val="17"/>
        </w:rPr>
      </w:pPr>
    </w:p>
    <w:p w:rsidR="00A30FF0" w:rsidRDefault="00A30FF0" w:rsidP="00680614">
      <w:pPr>
        <w:spacing w:before="120" w:after="120" w:line="220" w:lineRule="exact"/>
        <w:rPr>
          <w:szCs w:val="17"/>
        </w:rPr>
      </w:pPr>
      <w:r>
        <w:rPr>
          <w:szCs w:val="17"/>
        </w:rPr>
        <w:t xml:space="preserve">Por otro lado, con la finalidad de agilizar el otorgamiento del financiamiento a los productores </w:t>
      </w:r>
      <w:r w:rsidRPr="000C0C88">
        <w:rPr>
          <w:szCs w:val="17"/>
        </w:rPr>
        <w:t xml:space="preserve">se otorgó bajo criterios </w:t>
      </w:r>
      <w:r w:rsidRPr="000C0C88">
        <w:rPr>
          <w:bCs/>
          <w:szCs w:val="17"/>
        </w:rPr>
        <w:t>paramétricos</w:t>
      </w:r>
      <w:r>
        <w:rPr>
          <w:szCs w:val="17"/>
        </w:rPr>
        <w:t xml:space="preserve"> el</w:t>
      </w:r>
      <w:r w:rsidRPr="000C0C88">
        <w:rPr>
          <w:szCs w:val="17"/>
        </w:rPr>
        <w:t xml:space="preserve"> </w:t>
      </w:r>
      <w:r>
        <w:rPr>
          <w:bCs/>
          <w:szCs w:val="17"/>
        </w:rPr>
        <w:t>14</w:t>
      </w:r>
      <w:r w:rsidRPr="000C0C88">
        <w:rPr>
          <w:bCs/>
          <w:szCs w:val="17"/>
        </w:rPr>
        <w:t>%</w:t>
      </w:r>
      <w:r>
        <w:rPr>
          <w:szCs w:val="17"/>
        </w:rPr>
        <w:t xml:space="preserve"> de la colocación</w:t>
      </w:r>
      <w:r w:rsidR="00BD4351">
        <w:rPr>
          <w:szCs w:val="17"/>
        </w:rPr>
        <w:t xml:space="preserve"> total de la FND</w:t>
      </w:r>
      <w:r>
        <w:rPr>
          <w:szCs w:val="17"/>
        </w:rPr>
        <w:t xml:space="preserve">, equivalentes a </w:t>
      </w:r>
      <w:r w:rsidRPr="000C0C88">
        <w:rPr>
          <w:bCs/>
          <w:szCs w:val="17"/>
        </w:rPr>
        <w:t>$10,008</w:t>
      </w:r>
      <w:r>
        <w:rPr>
          <w:bCs/>
          <w:szCs w:val="17"/>
        </w:rPr>
        <w:t xml:space="preserve"> mdp,</w:t>
      </w:r>
      <w:r w:rsidRPr="000C0C88">
        <w:rPr>
          <w:szCs w:val="17"/>
        </w:rPr>
        <w:t xml:space="preserve"> lo que representó un </w:t>
      </w:r>
      <w:r w:rsidRPr="000C0C88">
        <w:rPr>
          <w:bCs/>
          <w:szCs w:val="17"/>
        </w:rPr>
        <w:t xml:space="preserve">incremento </w:t>
      </w:r>
      <w:r w:rsidRPr="000C0C88">
        <w:rPr>
          <w:szCs w:val="17"/>
        </w:rPr>
        <w:t xml:space="preserve">de </w:t>
      </w:r>
      <w:r w:rsidRPr="000C0C88">
        <w:rPr>
          <w:bCs/>
          <w:szCs w:val="17"/>
        </w:rPr>
        <w:t xml:space="preserve">3.4% </w:t>
      </w:r>
      <w:r w:rsidRPr="000C0C88">
        <w:rPr>
          <w:szCs w:val="17"/>
        </w:rPr>
        <w:t xml:space="preserve">respecto del </w:t>
      </w:r>
      <w:r>
        <w:rPr>
          <w:szCs w:val="17"/>
        </w:rPr>
        <w:t>ejercicio</w:t>
      </w:r>
      <w:r w:rsidRPr="000C0C88">
        <w:rPr>
          <w:bCs/>
          <w:szCs w:val="17"/>
        </w:rPr>
        <w:t xml:space="preserve"> 2016</w:t>
      </w:r>
      <w:r w:rsidRPr="000C0C88">
        <w:rPr>
          <w:szCs w:val="17"/>
        </w:rPr>
        <w:t>.</w:t>
      </w:r>
    </w:p>
    <w:p w:rsidR="00A30FF0" w:rsidRDefault="00A30FF0" w:rsidP="00680614">
      <w:pPr>
        <w:spacing w:before="120" w:after="120" w:line="220" w:lineRule="exact"/>
        <w:rPr>
          <w:szCs w:val="17"/>
        </w:rPr>
      </w:pPr>
    </w:p>
    <w:p w:rsidR="00A30FF0" w:rsidRDefault="00A30FF0" w:rsidP="00680614">
      <w:pPr>
        <w:pStyle w:val="TITULO5SECCIN"/>
        <w:spacing w:before="120" w:after="120" w:line="220" w:lineRule="exact"/>
        <w:jc w:val="both"/>
      </w:pPr>
      <w:r w:rsidRPr="009A18B7">
        <w:t>Actividades relevantes</w:t>
      </w:r>
    </w:p>
    <w:p w:rsidR="006171FC" w:rsidRPr="006171FC" w:rsidRDefault="006171FC" w:rsidP="00680614">
      <w:pPr>
        <w:spacing w:before="120" w:after="120" w:line="220" w:lineRule="exact"/>
      </w:pPr>
    </w:p>
    <w:p w:rsidR="00A30FF0" w:rsidRDefault="00A30FF0" w:rsidP="00680614">
      <w:pPr>
        <w:spacing w:before="120" w:after="120" w:line="220" w:lineRule="exact"/>
        <w:rPr>
          <w:b/>
          <w:szCs w:val="17"/>
        </w:rPr>
      </w:pPr>
      <w:r w:rsidRPr="00A84CA0">
        <w:rPr>
          <w:b/>
          <w:szCs w:val="17"/>
        </w:rPr>
        <w:t>Estrategia</w:t>
      </w:r>
      <w:r>
        <w:rPr>
          <w:b/>
          <w:szCs w:val="17"/>
        </w:rPr>
        <w:t xml:space="preserve"> 3.1 </w:t>
      </w:r>
      <w:r w:rsidRPr="00EA352B">
        <w:rPr>
          <w:b/>
          <w:szCs w:val="17"/>
        </w:rPr>
        <w:t>Contar con una oferta crediticia apropiada para los pequeños productores</w:t>
      </w:r>
      <w:r>
        <w:rPr>
          <w:b/>
          <w:szCs w:val="17"/>
        </w:rPr>
        <w:t>.</w:t>
      </w:r>
    </w:p>
    <w:p w:rsidR="00680614" w:rsidRDefault="00680614" w:rsidP="00680614">
      <w:pPr>
        <w:spacing w:before="120" w:after="120" w:line="220" w:lineRule="exact"/>
        <w:rPr>
          <w:b/>
          <w:szCs w:val="17"/>
        </w:rPr>
      </w:pPr>
    </w:p>
    <w:p w:rsidR="00A30FF0" w:rsidRDefault="00A30FF0" w:rsidP="00680614">
      <w:pPr>
        <w:spacing w:before="120" w:after="120" w:line="220" w:lineRule="exact"/>
        <w:rPr>
          <w:szCs w:val="17"/>
        </w:rPr>
      </w:pPr>
      <w:r>
        <w:rPr>
          <w:szCs w:val="17"/>
        </w:rPr>
        <w:t xml:space="preserve">Para agilizar la autorización del crédito a los pequeños productores y que cuenten con liquidez en el momento preciso, la </w:t>
      </w:r>
      <w:r w:rsidRPr="00B03861">
        <w:rPr>
          <w:szCs w:val="17"/>
        </w:rPr>
        <w:t>F</w:t>
      </w:r>
      <w:r w:rsidR="005A715E">
        <w:rPr>
          <w:szCs w:val="17"/>
        </w:rPr>
        <w:t>ND</w:t>
      </w:r>
      <w:r w:rsidRPr="00B03861">
        <w:rPr>
          <w:szCs w:val="17"/>
        </w:rPr>
        <w:t xml:space="preserve"> cuenta con 389 líneas paramétricas de las cuales 63 corresponden a líneas nuevas, 309 líneas que fueron ren</w:t>
      </w:r>
      <w:r>
        <w:rPr>
          <w:szCs w:val="17"/>
        </w:rPr>
        <w:t>ovadas y 17 que fueron modificadas.</w:t>
      </w:r>
    </w:p>
    <w:p w:rsidR="00680614" w:rsidRDefault="00680614" w:rsidP="00680614">
      <w:pPr>
        <w:spacing w:before="120" w:after="120" w:line="220" w:lineRule="exact"/>
        <w:rPr>
          <w:szCs w:val="17"/>
        </w:rPr>
      </w:pPr>
    </w:p>
    <w:p w:rsidR="00A30FF0" w:rsidRDefault="00A30FF0" w:rsidP="00680614">
      <w:pPr>
        <w:spacing w:before="120" w:after="120" w:line="220" w:lineRule="exact"/>
        <w:rPr>
          <w:szCs w:val="17"/>
        </w:rPr>
      </w:pPr>
      <w:r>
        <w:rPr>
          <w:szCs w:val="17"/>
        </w:rPr>
        <w:t>En este sentido, para atender de manera ágil y masiva a este segmento, se impulsó la utilización de paquetes tecnológicos, a través de la operación del Programa de Financiamiento Preautorizado.</w:t>
      </w:r>
    </w:p>
    <w:p w:rsidR="00680614" w:rsidRDefault="00680614" w:rsidP="00680614">
      <w:pPr>
        <w:spacing w:before="120" w:after="120" w:line="220" w:lineRule="exact"/>
        <w:rPr>
          <w:szCs w:val="17"/>
        </w:rPr>
      </w:pPr>
    </w:p>
    <w:p w:rsidR="00A30FF0" w:rsidRDefault="00A30FF0" w:rsidP="00680614">
      <w:pPr>
        <w:spacing w:before="120" w:after="120" w:line="220" w:lineRule="exact"/>
        <w:rPr>
          <w:szCs w:val="17"/>
        </w:rPr>
      </w:pPr>
      <w:r>
        <w:rPr>
          <w:szCs w:val="17"/>
        </w:rPr>
        <w:t>A fin de ofrecer programas y productos con mejores condiciones de financiamiento, s</w:t>
      </w:r>
      <w:r w:rsidRPr="001A0D1E">
        <w:rPr>
          <w:szCs w:val="17"/>
        </w:rPr>
        <w:t xml:space="preserve">e puso en marcha el esquema piloto para el desarrollo de proveedores de </w:t>
      </w:r>
      <w:r w:rsidRPr="001A0D1E">
        <w:rPr>
          <w:szCs w:val="17"/>
        </w:rPr>
        <w:t>DICONSA. Con este esquema los productores recibieron financiamiento más accesible y acorde a sus necesidades.</w:t>
      </w:r>
    </w:p>
    <w:p w:rsidR="00A30FF0" w:rsidRDefault="00A30FF0" w:rsidP="00680614">
      <w:pPr>
        <w:spacing w:before="120" w:after="120" w:line="220" w:lineRule="exact"/>
        <w:rPr>
          <w:szCs w:val="17"/>
        </w:rPr>
      </w:pPr>
    </w:p>
    <w:p w:rsidR="00A30FF0" w:rsidRDefault="00A30FF0" w:rsidP="00680614">
      <w:pPr>
        <w:spacing w:before="120" w:after="120" w:line="220" w:lineRule="exact"/>
        <w:rPr>
          <w:b/>
          <w:szCs w:val="17"/>
        </w:rPr>
      </w:pPr>
      <w:r w:rsidRPr="00A84CA0">
        <w:rPr>
          <w:b/>
          <w:szCs w:val="17"/>
        </w:rPr>
        <w:t>Estrategia</w:t>
      </w:r>
      <w:r>
        <w:rPr>
          <w:b/>
          <w:szCs w:val="17"/>
        </w:rPr>
        <w:t xml:space="preserve"> 3.2 </w:t>
      </w:r>
      <w:r w:rsidRPr="001433BE">
        <w:rPr>
          <w:b/>
          <w:szCs w:val="17"/>
        </w:rPr>
        <w:t>Revisar y simplificar la normatividad.</w:t>
      </w:r>
    </w:p>
    <w:p w:rsidR="006171FC" w:rsidRDefault="006171FC" w:rsidP="00680614">
      <w:pPr>
        <w:spacing w:before="120" w:after="120" w:line="220" w:lineRule="exact"/>
        <w:rPr>
          <w:b/>
          <w:szCs w:val="17"/>
        </w:rPr>
      </w:pPr>
    </w:p>
    <w:p w:rsidR="00A30FF0" w:rsidRDefault="00A30FF0" w:rsidP="00680614">
      <w:pPr>
        <w:spacing w:before="120" w:after="120" w:line="220" w:lineRule="exact"/>
        <w:rPr>
          <w:szCs w:val="17"/>
        </w:rPr>
      </w:pPr>
      <w:r>
        <w:rPr>
          <w:szCs w:val="17"/>
        </w:rPr>
        <w:t>Con el propósito de reducir los tiempos de autorización en las solicitudes de financiamiento de los pequeños productores</w:t>
      </w:r>
      <w:r w:rsidRPr="0014084F">
        <w:rPr>
          <w:szCs w:val="17"/>
        </w:rPr>
        <w:t>, se</w:t>
      </w:r>
      <w:r>
        <w:rPr>
          <w:szCs w:val="17"/>
        </w:rPr>
        <w:t xml:space="preserve"> automatizó la emisión de pagarés con el que se formalizan las operaciones de crédito.</w:t>
      </w:r>
    </w:p>
    <w:p w:rsidR="00680614" w:rsidRDefault="00680614" w:rsidP="00680614">
      <w:pPr>
        <w:spacing w:before="120" w:after="120" w:line="220" w:lineRule="exact"/>
        <w:rPr>
          <w:szCs w:val="17"/>
        </w:rPr>
      </w:pPr>
    </w:p>
    <w:p w:rsidR="00A30FF0" w:rsidRDefault="00A30FF0" w:rsidP="00680614">
      <w:pPr>
        <w:spacing w:before="120" w:after="120" w:line="220" w:lineRule="exact"/>
        <w:rPr>
          <w:szCs w:val="17"/>
        </w:rPr>
      </w:pPr>
      <w:r>
        <w:rPr>
          <w:szCs w:val="17"/>
        </w:rPr>
        <w:t xml:space="preserve">Adicionalmente, se vinculó la información generada en la Cédula de Validación del sistema TERFIN con el sistema de Automatización de Contratos de Crédito en el </w:t>
      </w:r>
      <w:r w:rsidRPr="00DF55D1">
        <w:rPr>
          <w:szCs w:val="17"/>
        </w:rPr>
        <w:t>Módulo de Análisis de Crédito (MA</w:t>
      </w:r>
      <w:r>
        <w:rPr>
          <w:szCs w:val="17"/>
        </w:rPr>
        <w:t xml:space="preserve">C), </w:t>
      </w:r>
      <w:r w:rsidRPr="0014084F">
        <w:rPr>
          <w:szCs w:val="17"/>
        </w:rPr>
        <w:t xml:space="preserve">con el objetivo de que </w:t>
      </w:r>
      <w:r w:rsidRPr="00453CFD">
        <w:rPr>
          <w:szCs w:val="17"/>
        </w:rPr>
        <w:t>el contrato de crédito se requisite con información de la autorización correspondiente</w:t>
      </w:r>
      <w:r>
        <w:rPr>
          <w:szCs w:val="17"/>
        </w:rPr>
        <w:t>.</w:t>
      </w:r>
    </w:p>
    <w:p w:rsidR="00A30FF0" w:rsidRDefault="00A30FF0" w:rsidP="00680614">
      <w:pPr>
        <w:spacing w:before="120" w:after="120" w:line="220" w:lineRule="exact"/>
        <w:rPr>
          <w:szCs w:val="17"/>
        </w:rPr>
      </w:pPr>
    </w:p>
    <w:p w:rsidR="00A30FF0" w:rsidRDefault="00A30FF0" w:rsidP="00680614">
      <w:pPr>
        <w:spacing w:before="120" w:after="120" w:line="220" w:lineRule="exact"/>
        <w:rPr>
          <w:szCs w:val="17"/>
        </w:rPr>
      </w:pPr>
    </w:p>
    <w:p w:rsidR="00A30FF0" w:rsidRDefault="00A30FF0" w:rsidP="00A30FF0">
      <w:pPr>
        <w:rPr>
          <w:szCs w:val="17"/>
        </w:rPr>
      </w:pPr>
    </w:p>
    <w:p w:rsidR="00A30FF0" w:rsidRDefault="00A30FF0" w:rsidP="00A30FF0">
      <w:pPr>
        <w:rPr>
          <w:szCs w:val="17"/>
        </w:rPr>
      </w:pPr>
    </w:p>
    <w:p w:rsidR="00A30FF0" w:rsidRDefault="00A30FF0" w:rsidP="00A30FF0">
      <w:pPr>
        <w:rPr>
          <w:szCs w:val="17"/>
        </w:rPr>
      </w:pPr>
    </w:p>
    <w:p w:rsidR="00A30FF0" w:rsidRDefault="00A30FF0" w:rsidP="00A30FF0">
      <w:pPr>
        <w:rPr>
          <w:szCs w:val="17"/>
        </w:rPr>
      </w:pPr>
    </w:p>
    <w:p w:rsidR="00A30FF0" w:rsidRDefault="00A30FF0" w:rsidP="00A30FF0">
      <w:pPr>
        <w:rPr>
          <w:szCs w:val="17"/>
        </w:rPr>
      </w:pPr>
    </w:p>
    <w:p w:rsidR="00A30FF0" w:rsidRDefault="00A30FF0" w:rsidP="00A30FF0">
      <w:pPr>
        <w:rPr>
          <w:szCs w:val="17"/>
        </w:rPr>
      </w:pPr>
    </w:p>
    <w:p w:rsidR="00A30FF0" w:rsidRDefault="00A30FF0" w:rsidP="00A30FF0">
      <w:pPr>
        <w:rPr>
          <w:szCs w:val="17"/>
        </w:rPr>
      </w:pPr>
    </w:p>
    <w:p w:rsidR="00A30FF0" w:rsidRDefault="00A30FF0" w:rsidP="00A30FF0">
      <w:pPr>
        <w:rPr>
          <w:szCs w:val="17"/>
        </w:rPr>
      </w:pPr>
    </w:p>
    <w:p w:rsidR="00A30FF0" w:rsidRDefault="00A30FF0" w:rsidP="00A30FF0">
      <w:pPr>
        <w:rPr>
          <w:szCs w:val="17"/>
        </w:rPr>
      </w:pPr>
    </w:p>
    <w:p w:rsidR="00A30FF0" w:rsidRDefault="00A30FF0" w:rsidP="00A30FF0">
      <w:pPr>
        <w:rPr>
          <w:szCs w:val="17"/>
        </w:rPr>
      </w:pPr>
    </w:p>
    <w:p w:rsidR="00A30FF0" w:rsidRDefault="00A30FF0" w:rsidP="00A30FF0">
      <w:pPr>
        <w:rPr>
          <w:szCs w:val="17"/>
        </w:rPr>
      </w:pPr>
    </w:p>
    <w:p w:rsidR="00A30FF0" w:rsidRDefault="00A30FF0" w:rsidP="00A30FF0">
      <w:pPr>
        <w:rPr>
          <w:szCs w:val="17"/>
        </w:rPr>
      </w:pPr>
    </w:p>
    <w:p w:rsidR="00A30FF0" w:rsidRDefault="00A30FF0" w:rsidP="00A30FF0">
      <w:pPr>
        <w:rPr>
          <w:szCs w:val="17"/>
        </w:rPr>
      </w:pPr>
    </w:p>
    <w:p w:rsidR="00A30FF0" w:rsidRDefault="00A30FF0" w:rsidP="00A30FF0">
      <w:pPr>
        <w:rPr>
          <w:szCs w:val="17"/>
        </w:rPr>
      </w:pPr>
    </w:p>
    <w:p w:rsidR="00A30FF0" w:rsidRDefault="00A30FF0" w:rsidP="00A30FF0">
      <w:pPr>
        <w:rPr>
          <w:szCs w:val="17"/>
        </w:rPr>
      </w:pPr>
    </w:p>
    <w:p w:rsidR="00A30FF0" w:rsidRDefault="00A30FF0" w:rsidP="00A30FF0">
      <w:pPr>
        <w:rPr>
          <w:szCs w:val="17"/>
        </w:rPr>
      </w:pPr>
    </w:p>
    <w:p w:rsidR="00A30FF0" w:rsidRDefault="00A30FF0" w:rsidP="00A30FF0">
      <w:pPr>
        <w:pStyle w:val="TITULO5SECCIN"/>
        <w:jc w:val="center"/>
        <w:sectPr w:rsidR="00A30FF0" w:rsidSect="003C48DA">
          <w:type w:val="continuous"/>
          <w:pgSz w:w="12240" w:h="15840" w:code="1"/>
          <w:pgMar w:top="2268" w:right="1418" w:bottom="1134" w:left="1418" w:header="0" w:footer="567" w:gutter="0"/>
          <w:cols w:num="2" w:space="454"/>
          <w:docGrid w:linePitch="360"/>
        </w:sectPr>
      </w:pPr>
    </w:p>
    <w:p w:rsidR="006171FC" w:rsidRDefault="006171FC" w:rsidP="006171FC">
      <w:pPr>
        <w:pStyle w:val="TITULO5SECCIN"/>
      </w:pPr>
    </w:p>
    <w:p w:rsidR="00A30FF0" w:rsidRDefault="006171FC" w:rsidP="006171FC">
      <w:pPr>
        <w:pStyle w:val="TITULO5SECCIN"/>
      </w:pPr>
      <w:r>
        <w:lastRenderedPageBreak/>
        <w:t>Avance</w:t>
      </w:r>
      <w:r w:rsidR="00A30FF0">
        <w:t xml:space="preserve"> de los indicadores </w:t>
      </w:r>
    </w:p>
    <w:p w:rsidR="006171FC" w:rsidRPr="006171FC" w:rsidRDefault="006171FC" w:rsidP="006171FC"/>
    <w:tbl>
      <w:tblPr>
        <w:tblW w:w="863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11"/>
        <w:gridCol w:w="1167"/>
        <w:gridCol w:w="1094"/>
        <w:gridCol w:w="843"/>
        <w:gridCol w:w="893"/>
        <w:gridCol w:w="1043"/>
        <w:gridCol w:w="1043"/>
        <w:gridCol w:w="1043"/>
      </w:tblGrid>
      <w:tr w:rsidR="00A30FF0" w:rsidRPr="00D23A4A" w:rsidTr="000F6ADC">
        <w:trPr>
          <w:trHeight w:val="753"/>
          <w:jc w:val="center"/>
        </w:trPr>
        <w:tc>
          <w:tcPr>
            <w:tcW w:w="1511" w:type="dxa"/>
            <w:shd w:val="clear" w:color="auto" w:fill="D9D9D9"/>
            <w:vAlign w:val="center"/>
          </w:tcPr>
          <w:p w:rsidR="00A30FF0" w:rsidRPr="00D23A4A" w:rsidRDefault="00A30FF0" w:rsidP="000F6ADC">
            <w:pPr>
              <w:autoSpaceDE w:val="0"/>
              <w:autoSpaceDN w:val="0"/>
              <w:adjustRightInd w:val="0"/>
              <w:spacing w:before="160" w:after="160" w:line="240" w:lineRule="auto"/>
              <w:jc w:val="center"/>
              <w:rPr>
                <w:rFonts w:cs="ACaslonPro-Bold"/>
                <w:b/>
                <w:bCs/>
                <w:sz w:val="16"/>
                <w:szCs w:val="16"/>
              </w:rPr>
            </w:pPr>
            <w:r w:rsidRPr="00D23A4A">
              <w:rPr>
                <w:rFonts w:cs="ACaslonPro-Bold"/>
                <w:b/>
                <w:bCs/>
                <w:sz w:val="16"/>
                <w:szCs w:val="16"/>
              </w:rPr>
              <w:t>Nombre</w:t>
            </w:r>
          </w:p>
        </w:tc>
        <w:tc>
          <w:tcPr>
            <w:tcW w:w="1167" w:type="dxa"/>
            <w:shd w:val="clear" w:color="auto" w:fill="D9D9D9"/>
            <w:vAlign w:val="center"/>
          </w:tcPr>
          <w:p w:rsidR="00A30FF0" w:rsidRPr="00D23A4A" w:rsidRDefault="00A30FF0" w:rsidP="000F6ADC">
            <w:pPr>
              <w:autoSpaceDE w:val="0"/>
              <w:autoSpaceDN w:val="0"/>
              <w:adjustRightInd w:val="0"/>
              <w:spacing w:before="160" w:after="160" w:line="240" w:lineRule="auto"/>
              <w:jc w:val="center"/>
              <w:rPr>
                <w:rFonts w:cs="ACaslonPro-Bold"/>
                <w:b/>
                <w:bCs/>
                <w:sz w:val="16"/>
                <w:szCs w:val="16"/>
              </w:rPr>
            </w:pPr>
            <w:r w:rsidRPr="00D23A4A">
              <w:rPr>
                <w:rFonts w:cs="ACaslonPro-Bold"/>
                <w:b/>
                <w:bCs/>
                <w:sz w:val="16"/>
                <w:szCs w:val="16"/>
              </w:rPr>
              <w:t>Línea base</w:t>
            </w:r>
          </w:p>
        </w:tc>
        <w:tc>
          <w:tcPr>
            <w:tcW w:w="1094" w:type="dxa"/>
            <w:shd w:val="clear" w:color="auto" w:fill="D9D9D9"/>
            <w:vAlign w:val="center"/>
          </w:tcPr>
          <w:p w:rsidR="00A30FF0" w:rsidRPr="00D23A4A" w:rsidRDefault="00A30FF0" w:rsidP="000F6ADC">
            <w:pPr>
              <w:autoSpaceDE w:val="0"/>
              <w:autoSpaceDN w:val="0"/>
              <w:adjustRightInd w:val="0"/>
              <w:spacing w:before="160" w:after="160" w:line="240" w:lineRule="auto"/>
              <w:jc w:val="center"/>
              <w:rPr>
                <w:rFonts w:cs="ACaslonPro-Bold"/>
                <w:b/>
                <w:bCs/>
                <w:sz w:val="16"/>
                <w:szCs w:val="16"/>
              </w:rPr>
            </w:pPr>
            <w:r>
              <w:rPr>
                <w:rFonts w:cs="ACaslonPro-Bold"/>
                <w:b/>
                <w:bCs/>
                <w:sz w:val="16"/>
                <w:szCs w:val="16"/>
              </w:rPr>
              <w:t>2013</w:t>
            </w:r>
          </w:p>
        </w:tc>
        <w:tc>
          <w:tcPr>
            <w:tcW w:w="843" w:type="dxa"/>
            <w:shd w:val="clear" w:color="auto" w:fill="D9D9D9"/>
            <w:vAlign w:val="center"/>
          </w:tcPr>
          <w:p w:rsidR="00A30FF0" w:rsidRPr="00D23A4A" w:rsidRDefault="00A30FF0" w:rsidP="000F6ADC">
            <w:pPr>
              <w:autoSpaceDE w:val="0"/>
              <w:autoSpaceDN w:val="0"/>
              <w:adjustRightInd w:val="0"/>
              <w:spacing w:before="160" w:after="160" w:line="240" w:lineRule="auto"/>
              <w:jc w:val="center"/>
              <w:rPr>
                <w:rFonts w:cs="ACaslonPro-Bold"/>
                <w:b/>
                <w:bCs/>
                <w:sz w:val="16"/>
                <w:szCs w:val="16"/>
              </w:rPr>
            </w:pPr>
            <w:r w:rsidRPr="00D23A4A">
              <w:rPr>
                <w:rFonts w:cs="ACaslonPro-Bold"/>
                <w:b/>
                <w:bCs/>
                <w:sz w:val="16"/>
                <w:szCs w:val="16"/>
              </w:rPr>
              <w:t>2014</w:t>
            </w:r>
          </w:p>
        </w:tc>
        <w:tc>
          <w:tcPr>
            <w:tcW w:w="893" w:type="dxa"/>
            <w:shd w:val="clear" w:color="auto" w:fill="D9D9D9"/>
            <w:vAlign w:val="center"/>
          </w:tcPr>
          <w:p w:rsidR="00A30FF0" w:rsidRPr="00D23A4A" w:rsidRDefault="00A30FF0" w:rsidP="000F6ADC">
            <w:pPr>
              <w:autoSpaceDE w:val="0"/>
              <w:autoSpaceDN w:val="0"/>
              <w:adjustRightInd w:val="0"/>
              <w:spacing w:before="160" w:after="160" w:line="240" w:lineRule="auto"/>
              <w:jc w:val="center"/>
              <w:rPr>
                <w:rFonts w:cs="ACaslonPro-Bold"/>
                <w:b/>
                <w:bCs/>
                <w:sz w:val="16"/>
                <w:szCs w:val="16"/>
              </w:rPr>
            </w:pPr>
            <w:r>
              <w:rPr>
                <w:rFonts w:cs="ACaslonPro-Bold"/>
                <w:b/>
                <w:bCs/>
                <w:sz w:val="16"/>
                <w:szCs w:val="16"/>
              </w:rPr>
              <w:t>2015</w:t>
            </w:r>
          </w:p>
        </w:tc>
        <w:tc>
          <w:tcPr>
            <w:tcW w:w="1043" w:type="dxa"/>
            <w:shd w:val="clear" w:color="auto" w:fill="D9D9D9"/>
            <w:vAlign w:val="center"/>
          </w:tcPr>
          <w:p w:rsidR="00A30FF0" w:rsidRPr="00D23A4A" w:rsidRDefault="00A30FF0" w:rsidP="000F6ADC">
            <w:pPr>
              <w:autoSpaceDE w:val="0"/>
              <w:autoSpaceDN w:val="0"/>
              <w:adjustRightInd w:val="0"/>
              <w:spacing w:before="160" w:after="160" w:line="240" w:lineRule="auto"/>
              <w:jc w:val="center"/>
              <w:rPr>
                <w:rFonts w:cs="ACaslonPro-Bold"/>
                <w:b/>
                <w:bCs/>
                <w:sz w:val="16"/>
                <w:szCs w:val="16"/>
              </w:rPr>
            </w:pPr>
            <w:r>
              <w:rPr>
                <w:rFonts w:cs="ACaslonPro-Bold"/>
                <w:b/>
                <w:bCs/>
                <w:sz w:val="16"/>
                <w:szCs w:val="16"/>
              </w:rPr>
              <w:t>2016</w:t>
            </w:r>
          </w:p>
        </w:tc>
        <w:tc>
          <w:tcPr>
            <w:tcW w:w="1043" w:type="dxa"/>
            <w:shd w:val="clear" w:color="auto" w:fill="D9D9D9"/>
            <w:vAlign w:val="center"/>
          </w:tcPr>
          <w:p w:rsidR="00A30FF0" w:rsidRPr="00D23A4A" w:rsidRDefault="00A30FF0" w:rsidP="000F6ADC">
            <w:pPr>
              <w:autoSpaceDE w:val="0"/>
              <w:autoSpaceDN w:val="0"/>
              <w:adjustRightInd w:val="0"/>
              <w:spacing w:before="160" w:after="160" w:line="240" w:lineRule="auto"/>
              <w:jc w:val="center"/>
              <w:rPr>
                <w:rFonts w:cs="ACaslonPro-Bold"/>
                <w:b/>
                <w:bCs/>
                <w:sz w:val="16"/>
                <w:szCs w:val="16"/>
              </w:rPr>
            </w:pPr>
            <w:r>
              <w:rPr>
                <w:rFonts w:cs="ACaslonPro-Bold"/>
                <w:b/>
                <w:bCs/>
                <w:sz w:val="16"/>
                <w:szCs w:val="16"/>
              </w:rPr>
              <w:t>2017</w:t>
            </w:r>
          </w:p>
        </w:tc>
        <w:tc>
          <w:tcPr>
            <w:tcW w:w="1043" w:type="dxa"/>
            <w:shd w:val="clear" w:color="auto" w:fill="D9D9D9"/>
            <w:vAlign w:val="center"/>
          </w:tcPr>
          <w:p w:rsidR="00A30FF0" w:rsidRPr="00D23A4A" w:rsidRDefault="00A30FF0" w:rsidP="000F6ADC">
            <w:pPr>
              <w:autoSpaceDE w:val="0"/>
              <w:autoSpaceDN w:val="0"/>
              <w:adjustRightInd w:val="0"/>
              <w:spacing w:before="160" w:after="160" w:line="240" w:lineRule="auto"/>
              <w:jc w:val="center"/>
              <w:rPr>
                <w:rFonts w:cs="ACaslonPro-Bold"/>
                <w:b/>
                <w:bCs/>
                <w:sz w:val="16"/>
                <w:szCs w:val="16"/>
              </w:rPr>
            </w:pPr>
            <w:r w:rsidRPr="00D23A4A">
              <w:rPr>
                <w:rFonts w:cs="ACaslonPro-Bold"/>
                <w:b/>
                <w:bCs/>
                <w:sz w:val="16"/>
                <w:szCs w:val="16"/>
              </w:rPr>
              <w:t>Meta 2018</w:t>
            </w:r>
          </w:p>
        </w:tc>
      </w:tr>
      <w:tr w:rsidR="00A30FF0" w:rsidRPr="00D23A4A" w:rsidTr="00CD4828">
        <w:trPr>
          <w:trHeight w:val="1484"/>
          <w:jc w:val="center"/>
        </w:trPr>
        <w:tc>
          <w:tcPr>
            <w:tcW w:w="1511" w:type="dxa"/>
            <w:shd w:val="clear" w:color="auto" w:fill="auto"/>
            <w:vAlign w:val="center"/>
          </w:tcPr>
          <w:p w:rsidR="00A30FF0" w:rsidRPr="00F446C5" w:rsidRDefault="00A30FF0" w:rsidP="001416E8">
            <w:pPr>
              <w:jc w:val="center"/>
              <w:rPr>
                <w:rFonts w:ascii="Soberana Sans" w:eastAsia="Cambria" w:hAnsi="Soberana Sans"/>
                <w:szCs w:val="17"/>
              </w:rPr>
            </w:pPr>
            <w:r w:rsidRPr="00F446C5">
              <w:rPr>
                <w:rFonts w:ascii="Soberana Sans" w:eastAsia="Cambria" w:hAnsi="Soberana Sans"/>
                <w:szCs w:val="17"/>
              </w:rPr>
              <w:t>Número de pequeños productores atendidos</w:t>
            </w:r>
          </w:p>
          <w:p w:rsidR="00A30FF0" w:rsidRPr="00071638" w:rsidRDefault="00A30FF0" w:rsidP="001416E8">
            <w:pPr>
              <w:jc w:val="center"/>
              <w:rPr>
                <w:rFonts w:ascii="Soberana Sans" w:eastAsia="Cambria" w:hAnsi="Soberana Sans"/>
                <w:szCs w:val="17"/>
                <w:highlight w:val="yellow"/>
              </w:rPr>
            </w:pPr>
            <w:r w:rsidRPr="00F446C5">
              <w:rPr>
                <w:rFonts w:ascii="Soberana Sans" w:eastAsia="Cambria" w:hAnsi="Soberana Sans"/>
                <w:szCs w:val="17"/>
              </w:rPr>
              <w:t>(Anual)</w:t>
            </w:r>
          </w:p>
        </w:tc>
        <w:tc>
          <w:tcPr>
            <w:tcW w:w="1167" w:type="dxa"/>
            <w:shd w:val="clear" w:color="auto" w:fill="auto"/>
            <w:vAlign w:val="center"/>
          </w:tcPr>
          <w:p w:rsidR="00A30FF0" w:rsidRPr="00F446C5" w:rsidRDefault="00A30FF0" w:rsidP="000F6ADC">
            <w:pPr>
              <w:jc w:val="center"/>
              <w:rPr>
                <w:rFonts w:ascii="Soberana Sans" w:eastAsia="Cambria" w:hAnsi="Soberana Sans"/>
                <w:szCs w:val="17"/>
              </w:rPr>
            </w:pPr>
            <w:r w:rsidRPr="00F446C5">
              <w:rPr>
                <w:rFonts w:ascii="Soberana Sans" w:eastAsia="Cambria" w:hAnsi="Soberana Sans"/>
                <w:szCs w:val="17"/>
              </w:rPr>
              <w:t>100%</w:t>
            </w:r>
          </w:p>
          <w:p w:rsidR="00A30FF0" w:rsidRPr="00F446C5" w:rsidRDefault="00A30FF0" w:rsidP="000F6ADC">
            <w:pPr>
              <w:jc w:val="center"/>
              <w:rPr>
                <w:rFonts w:ascii="Soberana Sans" w:eastAsia="Cambria" w:hAnsi="Soberana Sans"/>
                <w:szCs w:val="17"/>
              </w:rPr>
            </w:pPr>
            <w:r w:rsidRPr="00F446C5">
              <w:rPr>
                <w:rFonts w:ascii="Soberana Sans" w:eastAsia="Cambria" w:hAnsi="Soberana Sans"/>
                <w:szCs w:val="17"/>
              </w:rPr>
              <w:t>(2013)</w:t>
            </w:r>
          </w:p>
        </w:tc>
        <w:tc>
          <w:tcPr>
            <w:tcW w:w="1094" w:type="dxa"/>
            <w:vAlign w:val="center"/>
          </w:tcPr>
          <w:p w:rsidR="00A30FF0" w:rsidRPr="00F446C5" w:rsidRDefault="00A30FF0" w:rsidP="000F6ADC">
            <w:pPr>
              <w:jc w:val="center"/>
              <w:rPr>
                <w:rFonts w:ascii="Soberana Sans" w:eastAsia="Cambria" w:hAnsi="Soberana Sans"/>
                <w:szCs w:val="17"/>
              </w:rPr>
            </w:pPr>
            <w:r w:rsidRPr="00F446C5">
              <w:rPr>
                <w:rFonts w:ascii="Soberana Sans" w:eastAsia="Cambria" w:hAnsi="Soberana Sans"/>
                <w:szCs w:val="17"/>
              </w:rPr>
              <w:t>NA</w:t>
            </w:r>
          </w:p>
        </w:tc>
        <w:tc>
          <w:tcPr>
            <w:tcW w:w="843" w:type="dxa"/>
            <w:shd w:val="clear" w:color="auto" w:fill="auto"/>
            <w:vAlign w:val="center"/>
          </w:tcPr>
          <w:p w:rsidR="00A30FF0" w:rsidRPr="00F446C5" w:rsidRDefault="00A30FF0" w:rsidP="000F6ADC">
            <w:pPr>
              <w:jc w:val="center"/>
              <w:rPr>
                <w:rFonts w:ascii="Soberana Sans" w:eastAsia="Cambria" w:hAnsi="Soberana Sans"/>
                <w:szCs w:val="17"/>
              </w:rPr>
            </w:pPr>
            <w:r w:rsidRPr="00F446C5">
              <w:rPr>
                <w:rFonts w:ascii="Soberana Sans" w:eastAsia="Cambria" w:hAnsi="Soberana Sans"/>
                <w:szCs w:val="17"/>
              </w:rPr>
              <w:t>1</w:t>
            </w:r>
            <w:bookmarkStart w:id="12" w:name="_GoBack"/>
            <w:bookmarkEnd w:id="12"/>
            <w:r w:rsidRPr="00F446C5">
              <w:rPr>
                <w:rFonts w:ascii="Soberana Sans" w:eastAsia="Cambria" w:hAnsi="Soberana Sans"/>
                <w:szCs w:val="17"/>
              </w:rPr>
              <w:t>00%</w:t>
            </w:r>
            <w:r>
              <w:rPr>
                <w:rFonts w:ascii="Soberana Sans" w:eastAsia="Cambria" w:hAnsi="Soberana Sans"/>
                <w:szCs w:val="17"/>
              </w:rPr>
              <w:t>*</w:t>
            </w:r>
          </w:p>
        </w:tc>
        <w:tc>
          <w:tcPr>
            <w:tcW w:w="893" w:type="dxa"/>
            <w:shd w:val="clear" w:color="auto" w:fill="auto"/>
            <w:vAlign w:val="center"/>
          </w:tcPr>
          <w:p w:rsidR="00A30FF0" w:rsidRPr="00F446C5" w:rsidRDefault="00A30FF0" w:rsidP="000F6ADC">
            <w:pPr>
              <w:jc w:val="center"/>
              <w:rPr>
                <w:rFonts w:ascii="Soberana Sans" w:eastAsia="Cambria" w:hAnsi="Soberana Sans"/>
                <w:szCs w:val="17"/>
              </w:rPr>
            </w:pPr>
            <w:r w:rsidRPr="00F446C5">
              <w:rPr>
                <w:rFonts w:ascii="Soberana Sans" w:eastAsia="Cambria" w:hAnsi="Soberana Sans"/>
                <w:szCs w:val="17"/>
              </w:rPr>
              <w:t>237.3%</w:t>
            </w:r>
          </w:p>
        </w:tc>
        <w:tc>
          <w:tcPr>
            <w:tcW w:w="1043" w:type="dxa"/>
            <w:vAlign w:val="center"/>
          </w:tcPr>
          <w:p w:rsidR="00A30FF0" w:rsidRPr="00F446C5" w:rsidRDefault="00A30FF0" w:rsidP="000F6ADC">
            <w:pPr>
              <w:jc w:val="center"/>
              <w:rPr>
                <w:rFonts w:ascii="Soberana Sans" w:eastAsia="Cambria" w:hAnsi="Soberana Sans"/>
                <w:szCs w:val="17"/>
              </w:rPr>
            </w:pPr>
            <w:r w:rsidRPr="00F446C5">
              <w:rPr>
                <w:rFonts w:ascii="Soberana Sans" w:eastAsia="Cambria" w:hAnsi="Soberana Sans"/>
                <w:szCs w:val="17"/>
              </w:rPr>
              <w:t>285.1%</w:t>
            </w:r>
          </w:p>
        </w:tc>
        <w:tc>
          <w:tcPr>
            <w:tcW w:w="1043" w:type="dxa"/>
            <w:vAlign w:val="center"/>
          </w:tcPr>
          <w:p w:rsidR="00A30FF0" w:rsidRPr="00F446C5" w:rsidRDefault="00A30FF0" w:rsidP="000F6ADC">
            <w:pPr>
              <w:jc w:val="center"/>
              <w:rPr>
                <w:rFonts w:ascii="Soberana Sans" w:eastAsia="Cambria" w:hAnsi="Soberana Sans"/>
                <w:szCs w:val="17"/>
              </w:rPr>
            </w:pPr>
            <w:r w:rsidRPr="00F446C5">
              <w:rPr>
                <w:rFonts w:ascii="Soberana Sans" w:eastAsia="Cambria" w:hAnsi="Soberana Sans"/>
                <w:szCs w:val="17"/>
              </w:rPr>
              <w:t xml:space="preserve">313.8% </w:t>
            </w:r>
          </w:p>
        </w:tc>
        <w:tc>
          <w:tcPr>
            <w:tcW w:w="1043" w:type="dxa"/>
            <w:shd w:val="clear" w:color="auto" w:fill="auto"/>
            <w:vAlign w:val="center"/>
          </w:tcPr>
          <w:p w:rsidR="00A30FF0" w:rsidRPr="00F446C5" w:rsidRDefault="00A30FF0" w:rsidP="000F6ADC">
            <w:pPr>
              <w:jc w:val="center"/>
              <w:rPr>
                <w:rFonts w:ascii="Soberana Sans" w:eastAsia="Cambria" w:hAnsi="Soberana Sans"/>
                <w:szCs w:val="17"/>
              </w:rPr>
            </w:pPr>
            <w:r w:rsidRPr="00F446C5">
              <w:rPr>
                <w:rFonts w:ascii="Soberana Sans" w:eastAsia="Cambria" w:hAnsi="Soberana Sans"/>
                <w:szCs w:val="17"/>
              </w:rPr>
              <w:t>200%</w:t>
            </w:r>
          </w:p>
        </w:tc>
      </w:tr>
    </w:tbl>
    <w:p w:rsidR="00A30FF0" w:rsidRPr="00B27353" w:rsidRDefault="00A30FF0" w:rsidP="00A30FF0">
      <w:pPr>
        <w:spacing w:after="0" w:line="240" w:lineRule="auto"/>
        <w:rPr>
          <w:lang w:val="es-ES_tradnl"/>
        </w:rPr>
      </w:pPr>
      <w:r w:rsidRPr="00B27353">
        <w:rPr>
          <w:lang w:val="es-ES_tradnl"/>
        </w:rPr>
        <w:t>Nota:</w:t>
      </w:r>
    </w:p>
    <w:p w:rsidR="00A30FF0" w:rsidRDefault="00A30FF0" w:rsidP="00A30FF0">
      <w:pPr>
        <w:spacing w:after="0" w:line="240" w:lineRule="auto"/>
        <w:rPr>
          <w:lang w:val="es-ES_tradnl"/>
        </w:rPr>
      </w:pPr>
      <w:r w:rsidRPr="00B27353">
        <w:rPr>
          <w:lang w:val="es-ES_tradnl"/>
        </w:rPr>
        <w:t>­ NA: No aplica, en tanto que, derivado del año de la línea base y la frecuencia de medición del indicador, no corresponde reportar valor observado del indicador para este año.</w:t>
      </w:r>
    </w:p>
    <w:p w:rsidR="00A30FF0" w:rsidRPr="00174C9A" w:rsidRDefault="00A30FF0" w:rsidP="00A30FF0">
      <w:pPr>
        <w:spacing w:after="0" w:line="240" w:lineRule="auto"/>
        <w:rPr>
          <w:lang w:val="es-ES_tradnl"/>
        </w:rPr>
      </w:pPr>
      <w:r w:rsidRPr="00174C9A">
        <w:rPr>
          <w:lang w:val="es-ES_tradnl"/>
        </w:rPr>
        <w:t>* En virtud de que el Programa de Financiamiento para</w:t>
      </w:r>
      <w:r>
        <w:rPr>
          <w:lang w:val="es-ES_tradnl"/>
        </w:rPr>
        <w:t xml:space="preserve"> </w:t>
      </w:r>
      <w:r w:rsidRPr="00174C9A">
        <w:rPr>
          <w:lang w:val="es-ES_tradnl"/>
        </w:rPr>
        <w:t>Pequeños Productores e</w:t>
      </w:r>
      <w:r>
        <w:rPr>
          <w:lang w:val="es-ES_tradnl"/>
        </w:rPr>
        <w:t xml:space="preserve">ntró en vigor en agosto de 2014, </w:t>
      </w:r>
      <w:r w:rsidRPr="00174C9A">
        <w:rPr>
          <w:lang w:val="es-ES_tradnl"/>
        </w:rPr>
        <w:t>la línea base de este indicador se corre a dicho año</w:t>
      </w:r>
      <w:r>
        <w:rPr>
          <w:lang w:val="es-ES_tradnl"/>
        </w:rPr>
        <w:t>.</w:t>
      </w:r>
    </w:p>
    <w:p w:rsidR="00A30FF0" w:rsidRDefault="00A30FF0" w:rsidP="00A30FF0">
      <w:pPr>
        <w:pStyle w:val="TITULO5SECCIN"/>
        <w:rPr>
          <w:lang w:val="es-ES_tradnl"/>
        </w:rPr>
        <w:sectPr w:rsidR="00A30FF0" w:rsidSect="000F6ADC">
          <w:type w:val="continuous"/>
          <w:pgSz w:w="12240" w:h="15840" w:code="1"/>
          <w:pgMar w:top="2268" w:right="1418" w:bottom="1134" w:left="1418" w:header="0" w:footer="567" w:gutter="0"/>
          <w:cols w:space="454"/>
          <w:docGrid w:linePitch="360"/>
        </w:sectPr>
      </w:pPr>
    </w:p>
    <w:p w:rsidR="00A30FF0" w:rsidRDefault="00A30FF0" w:rsidP="00A30FF0">
      <w:pPr>
        <w:pStyle w:val="TITULO4OBJETIVO"/>
      </w:pPr>
    </w:p>
    <w:p w:rsidR="00A30FF0" w:rsidRDefault="00A30FF0" w:rsidP="00A30FF0">
      <w:pPr>
        <w:pStyle w:val="TITULO4OBJETIVO"/>
        <w:sectPr w:rsidR="00A30FF0" w:rsidSect="000F6ADC">
          <w:type w:val="continuous"/>
          <w:pgSz w:w="12240" w:h="15840" w:code="1"/>
          <w:pgMar w:top="2268" w:right="1418" w:bottom="1134" w:left="1418" w:header="0" w:footer="567" w:gutter="0"/>
          <w:cols w:num="2" w:space="454"/>
          <w:docGrid w:linePitch="360"/>
        </w:sectPr>
      </w:pPr>
    </w:p>
    <w:p w:rsidR="00A30FF0" w:rsidRDefault="00A30FF0" w:rsidP="00A30FF0">
      <w:pPr>
        <w:spacing w:after="0" w:line="240" w:lineRule="auto"/>
        <w:rPr>
          <w:rFonts w:ascii="Soberana Sans" w:hAnsi="Soberana Sans" w:cs="ACaslonPro-Regular"/>
          <w:b/>
          <w:sz w:val="24"/>
          <w:szCs w:val="24"/>
        </w:rPr>
      </w:pPr>
      <w:r>
        <w:br w:type="page"/>
      </w:r>
    </w:p>
    <w:p w:rsidR="00A30FF0" w:rsidRDefault="00A30FF0" w:rsidP="00A30FF0">
      <w:pPr>
        <w:pStyle w:val="TITULO4OBJETIVO"/>
        <w:sectPr w:rsidR="00A30FF0" w:rsidSect="000F6ADC">
          <w:type w:val="continuous"/>
          <w:pgSz w:w="12240" w:h="15840" w:code="1"/>
          <w:pgMar w:top="2268" w:right="1418" w:bottom="1134" w:left="1418" w:header="0" w:footer="567" w:gutter="0"/>
          <w:cols w:num="2" w:space="454"/>
          <w:docGrid w:linePitch="360"/>
        </w:sectPr>
      </w:pPr>
    </w:p>
    <w:p w:rsidR="00A30FF0" w:rsidRDefault="00A30FF0" w:rsidP="008616B5">
      <w:pPr>
        <w:pStyle w:val="TITULO4OBJETIVO"/>
        <w:jc w:val="both"/>
      </w:pPr>
      <w:r w:rsidRPr="00E82BE7">
        <w:lastRenderedPageBreak/>
        <w:t xml:space="preserve">Objetivo </w:t>
      </w:r>
      <w:r>
        <w:t>4</w:t>
      </w:r>
      <w:r w:rsidRPr="00E82BE7">
        <w:t xml:space="preserve">. </w:t>
      </w:r>
      <w:r w:rsidRPr="00FF5F9D">
        <w:t>Desarrollar y fortalecer Intermediarios Financieros Rurales para lograr una cobertura nacional.</w:t>
      </w:r>
    </w:p>
    <w:p w:rsidR="006171FC" w:rsidRPr="006171FC" w:rsidRDefault="006171FC" w:rsidP="0067052E">
      <w:pPr>
        <w:spacing w:before="120" w:after="120" w:line="220" w:lineRule="exact"/>
      </w:pPr>
    </w:p>
    <w:p w:rsidR="00A30FF0" w:rsidRDefault="00A30FF0" w:rsidP="0067052E">
      <w:pPr>
        <w:spacing w:before="120" w:after="120" w:line="220" w:lineRule="exact"/>
      </w:pPr>
      <w:r>
        <w:t xml:space="preserve">Uno de los principales retos de la Institución es cubrir las necesidades de financiamiento en las localidades rurales del país. Dado el gran número que representan y su amplia dispersión en el territorio nacional, se ha impulsado la creación y fortalecimiento de Intermediarios Financieros Rurales, mediante capacitación, adecuación de </w:t>
      </w:r>
      <w:r w:rsidR="00C27075">
        <w:t>l</w:t>
      </w:r>
      <w:r>
        <w:t>as Normas y Políticas de Crédito, así como la modernización de los sistemas para lograr una mayor cobertura nacional.</w:t>
      </w:r>
    </w:p>
    <w:p w:rsidR="00A30FF0" w:rsidRPr="00174C9A" w:rsidRDefault="00A30FF0" w:rsidP="0067052E">
      <w:pPr>
        <w:spacing w:before="120" w:after="120" w:line="220" w:lineRule="exact"/>
      </w:pPr>
    </w:p>
    <w:p w:rsidR="00A30FF0" w:rsidRDefault="00A30FF0" w:rsidP="0067052E">
      <w:pPr>
        <w:pStyle w:val="TITULO5SECCIN"/>
        <w:spacing w:before="120" w:after="120" w:line="220" w:lineRule="exact"/>
        <w:jc w:val="both"/>
      </w:pPr>
      <w:r>
        <w:t>Resultados</w:t>
      </w:r>
    </w:p>
    <w:p w:rsidR="006171FC" w:rsidRPr="006171FC" w:rsidRDefault="006171FC" w:rsidP="0067052E">
      <w:pPr>
        <w:spacing w:before="120" w:after="120" w:line="220" w:lineRule="exact"/>
      </w:pPr>
    </w:p>
    <w:p w:rsidR="00A30FF0" w:rsidRDefault="00A30FF0" w:rsidP="0067052E">
      <w:pPr>
        <w:spacing w:before="120" w:after="120" w:line="220" w:lineRule="exact"/>
      </w:pPr>
      <w:r>
        <w:t>A través de las operaciones indirectas, la colocación ascendió a $29,313 m</w:t>
      </w:r>
      <w:r w:rsidR="00242048">
        <w:t>dp</w:t>
      </w:r>
      <w:r>
        <w:t>, representando el 42% de la colocación total del ejercicio 2017. Esta colocación se realizó a través de 442 EIF.</w:t>
      </w:r>
    </w:p>
    <w:p w:rsidR="00A30FF0" w:rsidRDefault="00A30FF0" w:rsidP="0067052E">
      <w:pPr>
        <w:spacing w:before="120" w:after="120" w:line="220" w:lineRule="exact"/>
      </w:pPr>
    </w:p>
    <w:p w:rsidR="00A30FF0" w:rsidRDefault="00A30FF0" w:rsidP="0067052E">
      <w:pPr>
        <w:pStyle w:val="TITULO5SECCIN"/>
        <w:spacing w:before="120" w:after="120" w:line="220" w:lineRule="exact"/>
        <w:jc w:val="both"/>
      </w:pPr>
      <w:r w:rsidRPr="009A18B7">
        <w:t>Actividades relevantes</w:t>
      </w:r>
    </w:p>
    <w:p w:rsidR="006171FC" w:rsidRPr="006171FC" w:rsidRDefault="006171FC" w:rsidP="0067052E">
      <w:pPr>
        <w:spacing w:before="120" w:after="120" w:line="220" w:lineRule="exact"/>
      </w:pPr>
    </w:p>
    <w:p w:rsidR="00A30FF0" w:rsidRDefault="00A30FF0" w:rsidP="0067052E">
      <w:pPr>
        <w:spacing w:before="120" w:after="120" w:line="220" w:lineRule="exact"/>
        <w:rPr>
          <w:b/>
          <w:szCs w:val="17"/>
        </w:rPr>
      </w:pPr>
      <w:r w:rsidRPr="00A84CA0">
        <w:rPr>
          <w:b/>
          <w:szCs w:val="17"/>
        </w:rPr>
        <w:t>Estrategia</w:t>
      </w:r>
      <w:r>
        <w:rPr>
          <w:b/>
          <w:szCs w:val="17"/>
        </w:rPr>
        <w:t xml:space="preserve"> 4.1 </w:t>
      </w:r>
      <w:r w:rsidRPr="00120423">
        <w:rPr>
          <w:b/>
          <w:szCs w:val="17"/>
        </w:rPr>
        <w:t>Fortalecer a los Intermediarios Financieros existentes</w:t>
      </w:r>
      <w:r>
        <w:rPr>
          <w:b/>
          <w:szCs w:val="17"/>
        </w:rPr>
        <w:t>.</w:t>
      </w:r>
    </w:p>
    <w:p w:rsidR="006171FC" w:rsidRDefault="006171FC" w:rsidP="0067052E">
      <w:pPr>
        <w:spacing w:before="120" w:after="120" w:line="220" w:lineRule="exact"/>
        <w:rPr>
          <w:b/>
          <w:szCs w:val="17"/>
        </w:rPr>
      </w:pPr>
    </w:p>
    <w:p w:rsidR="00A30FF0" w:rsidRDefault="00A30FF0" w:rsidP="0067052E">
      <w:pPr>
        <w:spacing w:before="120" w:after="120" w:line="220" w:lineRule="exact"/>
        <w:rPr>
          <w:szCs w:val="17"/>
        </w:rPr>
      </w:pPr>
      <w:r>
        <w:rPr>
          <w:szCs w:val="17"/>
        </w:rPr>
        <w:t xml:space="preserve">Para contribuir al cumplimiento de esta estrategia, en 2017 se rediseñó el Programa de Financiamiento para EIF con el objeto </w:t>
      </w:r>
      <w:r w:rsidRPr="001D2345">
        <w:rPr>
          <w:szCs w:val="17"/>
        </w:rPr>
        <w:t xml:space="preserve">de establecer las condiciones y características generales que deben cumplir </w:t>
      </w:r>
      <w:r>
        <w:rPr>
          <w:szCs w:val="17"/>
        </w:rPr>
        <w:t>al solicitar</w:t>
      </w:r>
      <w:r w:rsidRPr="001D2345">
        <w:rPr>
          <w:szCs w:val="17"/>
        </w:rPr>
        <w:t xml:space="preserve"> </w:t>
      </w:r>
      <w:r>
        <w:rPr>
          <w:szCs w:val="17"/>
        </w:rPr>
        <w:t>financiamiento</w:t>
      </w:r>
      <w:r w:rsidRPr="001D2345">
        <w:rPr>
          <w:szCs w:val="17"/>
        </w:rPr>
        <w:t xml:space="preserve"> para generar o descontar cartera de crédito correspondiente</w:t>
      </w:r>
      <w:r>
        <w:rPr>
          <w:szCs w:val="17"/>
        </w:rPr>
        <w:t>s al mercado objetivo de la FND.</w:t>
      </w:r>
    </w:p>
    <w:p w:rsidR="0067052E" w:rsidRDefault="0067052E" w:rsidP="0067052E">
      <w:pPr>
        <w:spacing w:before="120" w:after="120" w:line="220" w:lineRule="exact"/>
        <w:rPr>
          <w:szCs w:val="17"/>
        </w:rPr>
      </w:pPr>
    </w:p>
    <w:p w:rsidR="00A30FF0" w:rsidRDefault="00A30FF0" w:rsidP="0067052E">
      <w:pPr>
        <w:spacing w:before="120" w:after="120" w:line="220" w:lineRule="exact"/>
        <w:rPr>
          <w:szCs w:val="17"/>
        </w:rPr>
      </w:pPr>
      <w:r>
        <w:rPr>
          <w:szCs w:val="17"/>
        </w:rPr>
        <w:t xml:space="preserve">Entre los principales cambios destacan los siguientes aspectos: </w:t>
      </w:r>
    </w:p>
    <w:p w:rsidR="0067052E" w:rsidRDefault="0067052E" w:rsidP="0067052E">
      <w:pPr>
        <w:spacing w:before="120" w:after="120" w:line="220" w:lineRule="exact"/>
        <w:rPr>
          <w:szCs w:val="17"/>
        </w:rPr>
      </w:pPr>
    </w:p>
    <w:p w:rsidR="00A30FF0" w:rsidRDefault="00A30FF0" w:rsidP="0067052E">
      <w:pPr>
        <w:pStyle w:val="Prrafodelista"/>
        <w:numPr>
          <w:ilvl w:val="0"/>
          <w:numId w:val="12"/>
        </w:numPr>
        <w:spacing w:before="120" w:after="120" w:line="220" w:lineRule="exact"/>
        <w:ind w:left="426" w:firstLine="0"/>
        <w:contextualSpacing w:val="0"/>
        <w:rPr>
          <w:szCs w:val="17"/>
          <w:lang w:eastAsia="es-MX"/>
        </w:rPr>
      </w:pPr>
      <w:r w:rsidRPr="00B76395">
        <w:rPr>
          <w:szCs w:val="17"/>
          <w:lang w:eastAsia="es-MX"/>
        </w:rPr>
        <w:t>Segmentación de los intermediarios financieros en regulados y no regulados.</w:t>
      </w:r>
    </w:p>
    <w:p w:rsidR="0067052E" w:rsidRPr="00B76395" w:rsidRDefault="0067052E" w:rsidP="0067052E">
      <w:pPr>
        <w:pStyle w:val="Prrafodelista"/>
        <w:spacing w:before="120" w:after="120" w:line="220" w:lineRule="exact"/>
        <w:ind w:left="426"/>
        <w:contextualSpacing w:val="0"/>
        <w:rPr>
          <w:szCs w:val="17"/>
          <w:lang w:eastAsia="es-MX"/>
        </w:rPr>
      </w:pPr>
    </w:p>
    <w:p w:rsidR="00A30FF0" w:rsidRDefault="00A30FF0" w:rsidP="0067052E">
      <w:pPr>
        <w:pStyle w:val="Prrafodelista"/>
        <w:numPr>
          <w:ilvl w:val="0"/>
          <w:numId w:val="12"/>
        </w:numPr>
        <w:spacing w:before="120" w:after="120" w:line="220" w:lineRule="exact"/>
        <w:ind w:left="426" w:firstLine="0"/>
        <w:contextualSpacing w:val="0"/>
        <w:rPr>
          <w:szCs w:val="17"/>
          <w:lang w:eastAsia="es-MX"/>
        </w:rPr>
      </w:pPr>
      <w:r w:rsidRPr="00B76395">
        <w:rPr>
          <w:szCs w:val="17"/>
          <w:lang w:eastAsia="es-MX"/>
        </w:rPr>
        <w:t>Beneficio en la tasa de interés para aquellas EIF que son calificadas por empresas calificadoras autorizadas por la CNBV.</w:t>
      </w:r>
    </w:p>
    <w:p w:rsidR="0067052E" w:rsidRPr="0067052E" w:rsidRDefault="0067052E" w:rsidP="0067052E">
      <w:pPr>
        <w:spacing w:before="120" w:after="120" w:line="220" w:lineRule="exact"/>
        <w:rPr>
          <w:szCs w:val="17"/>
          <w:lang w:eastAsia="es-MX"/>
        </w:rPr>
      </w:pPr>
    </w:p>
    <w:p w:rsidR="00A30FF0" w:rsidRDefault="00A30FF0" w:rsidP="0067052E">
      <w:pPr>
        <w:pStyle w:val="Prrafodelista"/>
        <w:numPr>
          <w:ilvl w:val="0"/>
          <w:numId w:val="12"/>
        </w:numPr>
        <w:spacing w:before="120" w:after="120" w:line="220" w:lineRule="exact"/>
        <w:ind w:left="426" w:firstLine="0"/>
        <w:contextualSpacing w:val="0"/>
        <w:rPr>
          <w:szCs w:val="17"/>
          <w:lang w:eastAsia="es-MX"/>
        </w:rPr>
      </w:pPr>
      <w:r w:rsidRPr="00B76395">
        <w:rPr>
          <w:szCs w:val="17"/>
          <w:lang w:eastAsia="es-MX"/>
        </w:rPr>
        <w:t xml:space="preserve">Adecuación y flexibilización de la normatividad de crédito de la FND para que los plazos y esquema de </w:t>
      </w:r>
      <w:r w:rsidRPr="00B76395">
        <w:rPr>
          <w:szCs w:val="17"/>
          <w:lang w:eastAsia="es-MX"/>
        </w:rPr>
        <w:t xml:space="preserve">garantías de los créditos otorgados por los intermediarios financieros, con recursos de las líneas de crédito de la FND, se ajusten a las políticas de originación del propio intermediario.  </w:t>
      </w:r>
    </w:p>
    <w:p w:rsidR="0067052E" w:rsidRPr="0067052E" w:rsidRDefault="0067052E" w:rsidP="0067052E">
      <w:pPr>
        <w:spacing w:before="120" w:after="120" w:line="220" w:lineRule="exact"/>
        <w:rPr>
          <w:szCs w:val="17"/>
          <w:lang w:eastAsia="es-MX"/>
        </w:rPr>
      </w:pPr>
    </w:p>
    <w:p w:rsidR="00A30FF0" w:rsidRDefault="00A30FF0" w:rsidP="0067052E">
      <w:pPr>
        <w:pStyle w:val="Prrafodelista"/>
        <w:numPr>
          <w:ilvl w:val="0"/>
          <w:numId w:val="12"/>
        </w:numPr>
        <w:spacing w:before="120" w:after="120" w:line="220" w:lineRule="exact"/>
        <w:ind w:left="426" w:firstLine="0"/>
        <w:rPr>
          <w:szCs w:val="17"/>
          <w:lang w:eastAsia="es-MX"/>
        </w:rPr>
      </w:pPr>
      <w:r w:rsidRPr="00B76395">
        <w:rPr>
          <w:szCs w:val="17"/>
          <w:lang w:eastAsia="es-MX"/>
        </w:rPr>
        <w:t>Eliminación de la revisión anual.</w:t>
      </w:r>
    </w:p>
    <w:p w:rsidR="0067052E" w:rsidRPr="0067052E" w:rsidRDefault="0067052E" w:rsidP="0067052E">
      <w:pPr>
        <w:spacing w:before="120" w:after="120" w:line="220" w:lineRule="exact"/>
        <w:rPr>
          <w:szCs w:val="17"/>
          <w:lang w:eastAsia="es-MX"/>
        </w:rPr>
      </w:pPr>
    </w:p>
    <w:p w:rsidR="00A30FF0" w:rsidRDefault="00A30FF0" w:rsidP="0067052E">
      <w:pPr>
        <w:pStyle w:val="Prrafodelista"/>
        <w:numPr>
          <w:ilvl w:val="0"/>
          <w:numId w:val="12"/>
        </w:numPr>
        <w:spacing w:before="120" w:after="120" w:line="220" w:lineRule="exact"/>
        <w:ind w:left="426" w:firstLine="0"/>
        <w:rPr>
          <w:szCs w:val="17"/>
          <w:lang w:eastAsia="es-MX"/>
        </w:rPr>
      </w:pPr>
      <w:r w:rsidRPr="00B76395">
        <w:rPr>
          <w:szCs w:val="17"/>
          <w:lang w:eastAsia="es-MX"/>
        </w:rPr>
        <w:t>Posibilidad de contratación de una sola línea de crédito para la operación de distintos productos de crédito que el intermediario financiero considere en el plan de operaciones.</w:t>
      </w:r>
    </w:p>
    <w:p w:rsidR="0067052E" w:rsidRPr="0067052E" w:rsidRDefault="0067052E" w:rsidP="0067052E">
      <w:pPr>
        <w:spacing w:before="120" w:after="120" w:line="220" w:lineRule="exact"/>
        <w:rPr>
          <w:szCs w:val="17"/>
          <w:lang w:eastAsia="es-MX"/>
        </w:rPr>
      </w:pPr>
    </w:p>
    <w:p w:rsidR="00A30FF0" w:rsidRDefault="00A30FF0" w:rsidP="0067052E">
      <w:pPr>
        <w:pStyle w:val="CUARTONIVELBULLETHUECA"/>
        <w:numPr>
          <w:ilvl w:val="0"/>
          <w:numId w:val="0"/>
        </w:numPr>
        <w:rPr>
          <w:color w:val="auto"/>
        </w:rPr>
      </w:pPr>
      <w:r>
        <w:rPr>
          <w:color w:val="auto"/>
        </w:rPr>
        <w:t>En el tema de profesionalización de las EIF, durante el ejercicio 2017 se llevó a cabo la promoción de los apoyos a los que pueden acceder las EIF, para el fortalecimiento de sus</w:t>
      </w:r>
      <w:r w:rsidRPr="00C424C5">
        <w:rPr>
          <w:color w:val="auto"/>
        </w:rPr>
        <w:t xml:space="preserve"> finanzas, procesos, sistemas, gobierno corporativo y contabilidad</w:t>
      </w:r>
      <w:r>
        <w:rPr>
          <w:color w:val="auto"/>
        </w:rPr>
        <w:t>.</w:t>
      </w:r>
    </w:p>
    <w:p w:rsidR="0067052E" w:rsidRDefault="0067052E" w:rsidP="0067052E">
      <w:pPr>
        <w:pStyle w:val="CUARTONIVELBULLETHUECA"/>
        <w:numPr>
          <w:ilvl w:val="0"/>
          <w:numId w:val="0"/>
        </w:numPr>
        <w:rPr>
          <w:color w:val="auto"/>
        </w:rPr>
      </w:pPr>
    </w:p>
    <w:p w:rsidR="00A30FF0" w:rsidRDefault="00A30FF0" w:rsidP="0067052E">
      <w:pPr>
        <w:pStyle w:val="CUARTONIVELBULLETHUECA"/>
        <w:numPr>
          <w:ilvl w:val="0"/>
          <w:numId w:val="0"/>
        </w:numPr>
        <w:rPr>
          <w:color w:val="auto"/>
        </w:rPr>
      </w:pPr>
      <w:r>
        <w:rPr>
          <w:color w:val="auto"/>
        </w:rPr>
        <w:t xml:space="preserve">Adicionalmente, se creó una herramienta tecnológica para </w:t>
      </w:r>
      <w:r w:rsidRPr="00745657">
        <w:rPr>
          <w:color w:val="auto"/>
        </w:rPr>
        <w:t>que los promotores de financiamiento realicen una consulta rápida sobre las características de los apoyos destinados a las EIF</w:t>
      </w:r>
      <w:r>
        <w:rPr>
          <w:color w:val="auto"/>
        </w:rPr>
        <w:t>.</w:t>
      </w:r>
    </w:p>
    <w:p w:rsidR="0067052E" w:rsidRDefault="0067052E" w:rsidP="0067052E">
      <w:pPr>
        <w:pStyle w:val="CUARTONIVELBULLETHUECA"/>
        <w:numPr>
          <w:ilvl w:val="0"/>
          <w:numId w:val="0"/>
        </w:numPr>
        <w:rPr>
          <w:color w:val="auto"/>
        </w:rPr>
      </w:pPr>
    </w:p>
    <w:p w:rsidR="00A30FF0" w:rsidRDefault="00A30FF0" w:rsidP="0067052E">
      <w:pPr>
        <w:pStyle w:val="CUARTONIVELBULLETHUECA"/>
        <w:numPr>
          <w:ilvl w:val="0"/>
          <w:numId w:val="0"/>
        </w:numPr>
        <w:rPr>
          <w:color w:val="auto"/>
        </w:rPr>
      </w:pPr>
      <w:r>
        <w:rPr>
          <w:color w:val="auto"/>
        </w:rPr>
        <w:t>Con la finalidad de reactivar operaciones con las EIF, s</w:t>
      </w:r>
      <w:r w:rsidRPr="004963E3">
        <w:rPr>
          <w:color w:val="auto"/>
        </w:rPr>
        <w:t>e aplicaron encu</w:t>
      </w:r>
      <w:r>
        <w:rPr>
          <w:color w:val="auto"/>
        </w:rPr>
        <w:t xml:space="preserve">estas a 115 EIF inactivas para identificar sus necesidades y promover </w:t>
      </w:r>
      <w:r w:rsidRPr="004963E3">
        <w:rPr>
          <w:color w:val="auto"/>
        </w:rPr>
        <w:t>los</w:t>
      </w:r>
      <w:r>
        <w:rPr>
          <w:color w:val="auto"/>
        </w:rPr>
        <w:t xml:space="preserve"> actuales esquemas de financiamiento</w:t>
      </w:r>
      <w:r w:rsidRPr="004963E3">
        <w:rPr>
          <w:color w:val="auto"/>
        </w:rPr>
        <w:t xml:space="preserve">. Derivado de esto, se logró </w:t>
      </w:r>
      <w:r>
        <w:rPr>
          <w:color w:val="auto"/>
        </w:rPr>
        <w:t>reactivar operaciones con 55 de ellas.</w:t>
      </w:r>
    </w:p>
    <w:p w:rsidR="00A30FF0" w:rsidRPr="004963E3" w:rsidRDefault="00A30FF0" w:rsidP="0067052E">
      <w:pPr>
        <w:pStyle w:val="CUARTONIVELBULLETHUECA"/>
        <w:numPr>
          <w:ilvl w:val="0"/>
          <w:numId w:val="0"/>
        </w:numPr>
        <w:rPr>
          <w:color w:val="auto"/>
        </w:rPr>
      </w:pPr>
    </w:p>
    <w:p w:rsidR="00A30FF0" w:rsidRDefault="00A30FF0" w:rsidP="0067052E">
      <w:pPr>
        <w:pStyle w:val="CUARTONIVELBULLETHUECA"/>
        <w:numPr>
          <w:ilvl w:val="0"/>
          <w:numId w:val="0"/>
        </w:numPr>
        <w:rPr>
          <w:b/>
          <w:color w:val="auto"/>
        </w:rPr>
      </w:pPr>
      <w:r>
        <w:rPr>
          <w:b/>
          <w:color w:val="auto"/>
        </w:rPr>
        <w:t xml:space="preserve">Estrategia 4.2 </w:t>
      </w:r>
      <w:r w:rsidRPr="004C2C8E">
        <w:rPr>
          <w:b/>
          <w:color w:val="auto"/>
        </w:rPr>
        <w:t>Desarrollar nuevos Intermediarios Financieros.</w:t>
      </w:r>
    </w:p>
    <w:p w:rsidR="006171FC" w:rsidRDefault="006171FC" w:rsidP="0067052E">
      <w:pPr>
        <w:pStyle w:val="CUARTONIVELBULLETHUECA"/>
        <w:numPr>
          <w:ilvl w:val="0"/>
          <w:numId w:val="0"/>
        </w:numPr>
        <w:rPr>
          <w:b/>
          <w:color w:val="auto"/>
        </w:rPr>
      </w:pPr>
    </w:p>
    <w:p w:rsidR="00A30FF0" w:rsidRDefault="00A30FF0" w:rsidP="0067052E">
      <w:pPr>
        <w:pStyle w:val="CUARTONIVELBULLETHUECA"/>
        <w:numPr>
          <w:ilvl w:val="0"/>
          <w:numId w:val="0"/>
        </w:numPr>
        <w:rPr>
          <w:color w:val="auto"/>
        </w:rPr>
      </w:pPr>
      <w:r>
        <w:rPr>
          <w:color w:val="auto"/>
        </w:rPr>
        <w:t>Para el cumplimiento de esta estrategia, se realizó un estudio para definir las zonas de interés geográfico para la Institución orientado a incrementar la cobertura de financiamiento. El propósito es aportar elementos para que las áreas operativas definan estrategias de desarrollo de las EIF para lograr una cobertura nacional.</w:t>
      </w:r>
    </w:p>
    <w:p w:rsidR="0067052E" w:rsidRDefault="0067052E" w:rsidP="0067052E">
      <w:pPr>
        <w:pStyle w:val="CUARTONIVELBULLETHUECA"/>
        <w:numPr>
          <w:ilvl w:val="0"/>
          <w:numId w:val="0"/>
        </w:numPr>
        <w:rPr>
          <w:color w:val="auto"/>
        </w:rPr>
      </w:pPr>
    </w:p>
    <w:p w:rsidR="00A30FF0" w:rsidRDefault="00A30FF0" w:rsidP="0067052E">
      <w:pPr>
        <w:pStyle w:val="CUARTONIVELBULLETHUECA"/>
        <w:numPr>
          <w:ilvl w:val="0"/>
          <w:numId w:val="0"/>
        </w:numPr>
        <w:rPr>
          <w:color w:val="auto"/>
        </w:rPr>
      </w:pPr>
      <w:r>
        <w:rPr>
          <w:color w:val="auto"/>
        </w:rPr>
        <w:t xml:space="preserve">A fin de fortalecer la operación de las organizaciones de productores se llevaron a cabo 23 talleres de capacitación para dar a conocer los conceptos de apoyo a los que pueden acceder para constituirse como una EIF. </w:t>
      </w:r>
    </w:p>
    <w:p w:rsidR="0067052E" w:rsidRDefault="0067052E" w:rsidP="0067052E">
      <w:pPr>
        <w:pStyle w:val="CUARTONIVELBULLETHUECA"/>
        <w:numPr>
          <w:ilvl w:val="0"/>
          <w:numId w:val="0"/>
        </w:numPr>
        <w:rPr>
          <w:color w:val="auto"/>
        </w:rPr>
      </w:pPr>
    </w:p>
    <w:p w:rsidR="00A30FF0" w:rsidRDefault="00A30FF0" w:rsidP="0067052E">
      <w:pPr>
        <w:pStyle w:val="CUARTONIVELBULLETHUECA"/>
        <w:numPr>
          <w:ilvl w:val="0"/>
          <w:numId w:val="0"/>
        </w:numPr>
        <w:rPr>
          <w:color w:val="auto"/>
        </w:rPr>
      </w:pPr>
      <w:r w:rsidRPr="00BB00F6">
        <w:rPr>
          <w:color w:val="auto"/>
        </w:rPr>
        <w:t xml:space="preserve">Durante el ejercicio 2017, la FND firmó catorce convenios de colaboración con gobiernos tanto estatales, como </w:t>
      </w:r>
      <w:r w:rsidRPr="00BB00F6">
        <w:rPr>
          <w:color w:val="auto"/>
        </w:rPr>
        <w:lastRenderedPageBreak/>
        <w:t>municipales, con la finalidad de ampliar esfuerzos y recursos a efecto de impulsar el desarrollo de las actividades económicas en el sector rural, a través de la promoción de los Programas de Crédito, prestación de servicios financieros, asesoría y consultoría a productores y empresas relacionadas con el sector rural.</w:t>
      </w:r>
    </w:p>
    <w:p w:rsidR="00A30FF0" w:rsidRDefault="00A30FF0" w:rsidP="0067052E">
      <w:pPr>
        <w:pStyle w:val="CUARTONIVELBULLETHUECA"/>
        <w:numPr>
          <w:ilvl w:val="0"/>
          <w:numId w:val="0"/>
        </w:numPr>
        <w:rPr>
          <w:color w:val="auto"/>
        </w:rPr>
      </w:pPr>
    </w:p>
    <w:p w:rsidR="00A30FF0" w:rsidRDefault="00A30FF0" w:rsidP="0067052E">
      <w:pPr>
        <w:pStyle w:val="CUARTONIVELBULLETHUECA"/>
        <w:numPr>
          <w:ilvl w:val="0"/>
          <w:numId w:val="0"/>
        </w:numPr>
        <w:rPr>
          <w:b/>
          <w:color w:val="auto"/>
        </w:rPr>
      </w:pPr>
      <w:r>
        <w:rPr>
          <w:b/>
          <w:color w:val="auto"/>
        </w:rPr>
        <w:t xml:space="preserve">Estrategia </w:t>
      </w:r>
      <w:r w:rsidRPr="0085375D">
        <w:rPr>
          <w:b/>
          <w:color w:val="auto"/>
        </w:rPr>
        <w:t>4.3 Modernizar la operación con Intermediarios Financieros.</w:t>
      </w:r>
    </w:p>
    <w:p w:rsidR="006171FC" w:rsidRDefault="006171FC" w:rsidP="0067052E">
      <w:pPr>
        <w:pStyle w:val="CUARTONIVELBULLETHUECA"/>
        <w:numPr>
          <w:ilvl w:val="0"/>
          <w:numId w:val="0"/>
        </w:numPr>
        <w:rPr>
          <w:b/>
          <w:color w:val="auto"/>
        </w:rPr>
      </w:pPr>
    </w:p>
    <w:p w:rsidR="00A30FF0" w:rsidRDefault="00A30FF0" w:rsidP="0067052E">
      <w:pPr>
        <w:pStyle w:val="CUARTONIVELBULLETHUECA"/>
        <w:numPr>
          <w:ilvl w:val="0"/>
          <w:numId w:val="0"/>
        </w:numPr>
        <w:rPr>
          <w:color w:val="auto"/>
        </w:rPr>
      </w:pPr>
      <w:r>
        <w:rPr>
          <w:color w:val="auto"/>
        </w:rPr>
        <w:t xml:space="preserve">En el tema de modernización tecnológica, se </w:t>
      </w:r>
      <w:r w:rsidRPr="0085375D">
        <w:rPr>
          <w:color w:val="auto"/>
        </w:rPr>
        <w:t xml:space="preserve">llevaron a cabo acciones de mejora y adecuación de los sistemas </w:t>
      </w:r>
      <w:r>
        <w:rPr>
          <w:color w:val="auto"/>
        </w:rPr>
        <w:t xml:space="preserve">de captura de información, con el propósito de optimizar la operación con los intermediarios financieros tanto de las áreas sustantivas como las administrativas de la Institución. </w:t>
      </w:r>
    </w:p>
    <w:p w:rsidR="00567DC0" w:rsidRDefault="00567DC0" w:rsidP="0067052E">
      <w:pPr>
        <w:pStyle w:val="CUARTONIVELBULLETHUECA"/>
        <w:numPr>
          <w:ilvl w:val="0"/>
          <w:numId w:val="0"/>
        </w:numPr>
        <w:rPr>
          <w:color w:val="auto"/>
        </w:rPr>
      </w:pPr>
    </w:p>
    <w:p w:rsidR="00A30FF0" w:rsidRDefault="00A30FF0" w:rsidP="0067052E">
      <w:pPr>
        <w:pStyle w:val="CUARTONIVELBULLETHUECA"/>
        <w:numPr>
          <w:ilvl w:val="0"/>
          <w:numId w:val="0"/>
        </w:numPr>
        <w:rPr>
          <w:color w:val="auto"/>
        </w:rPr>
      </w:pPr>
      <w:r w:rsidRPr="00D022CB">
        <w:rPr>
          <w:color w:val="auto"/>
        </w:rPr>
        <w:t>Se modificó el Sistema Informático de Asignación de Tasas (SIAT), para reacomodar los campos de</w:t>
      </w:r>
      <w:r w:rsidR="00C27075">
        <w:rPr>
          <w:color w:val="auto"/>
        </w:rPr>
        <w:t xml:space="preserve"> la pantalla de</w:t>
      </w:r>
      <w:r w:rsidRPr="00D022CB">
        <w:rPr>
          <w:color w:val="auto"/>
        </w:rPr>
        <w:t xml:space="preserve"> Datos Generales en la Cedula de Adhesión para operaciones de segundo piso.</w:t>
      </w:r>
    </w:p>
    <w:p w:rsidR="00567DC0" w:rsidRDefault="00567DC0" w:rsidP="0067052E">
      <w:pPr>
        <w:pStyle w:val="CUARTONIVELBULLETHUECA"/>
        <w:numPr>
          <w:ilvl w:val="0"/>
          <w:numId w:val="0"/>
        </w:numPr>
        <w:rPr>
          <w:color w:val="auto"/>
        </w:rPr>
      </w:pPr>
    </w:p>
    <w:p w:rsidR="00A30FF0" w:rsidRDefault="00A30FF0" w:rsidP="0067052E">
      <w:pPr>
        <w:pStyle w:val="CUARTONIVELBULLETHUECA"/>
        <w:numPr>
          <w:ilvl w:val="0"/>
          <w:numId w:val="0"/>
        </w:numPr>
        <w:rPr>
          <w:color w:val="auto"/>
        </w:rPr>
      </w:pPr>
      <w:r>
        <w:rPr>
          <w:color w:val="auto"/>
        </w:rPr>
        <w:t>Por último, s</w:t>
      </w:r>
      <w:r w:rsidRPr="00D022CB">
        <w:rPr>
          <w:color w:val="auto"/>
        </w:rPr>
        <w:t>e implementó una nueva validación</w:t>
      </w:r>
      <w:r>
        <w:rPr>
          <w:color w:val="auto"/>
        </w:rPr>
        <w:t xml:space="preserve"> técnica</w:t>
      </w:r>
      <w:r w:rsidRPr="00D022CB">
        <w:rPr>
          <w:color w:val="auto"/>
        </w:rPr>
        <w:t xml:space="preserve"> en el envío y reenvío </w:t>
      </w:r>
      <w:r>
        <w:rPr>
          <w:color w:val="auto"/>
        </w:rPr>
        <w:t xml:space="preserve">de información a mesa de control, de los </w:t>
      </w:r>
      <w:r w:rsidRPr="00D022CB">
        <w:rPr>
          <w:color w:val="auto"/>
        </w:rPr>
        <w:t>Int</w:t>
      </w:r>
      <w:r>
        <w:rPr>
          <w:color w:val="auto"/>
        </w:rPr>
        <w:t>ermediarios Financieros Rurales.</w:t>
      </w:r>
      <w:r w:rsidRPr="00D022CB">
        <w:rPr>
          <w:color w:val="auto"/>
        </w:rPr>
        <w:t xml:space="preserve"> </w:t>
      </w:r>
    </w:p>
    <w:p w:rsidR="00567DC0" w:rsidRDefault="00567DC0" w:rsidP="00DE369C">
      <w:pPr>
        <w:pStyle w:val="CUARTONIVELBULLETHUECA"/>
        <w:numPr>
          <w:ilvl w:val="0"/>
          <w:numId w:val="0"/>
        </w:numPr>
        <w:rPr>
          <w:b/>
          <w:color w:val="auto"/>
        </w:rPr>
      </w:pPr>
    </w:p>
    <w:p w:rsidR="00567DC0" w:rsidRDefault="00567DC0" w:rsidP="00567DC0">
      <w:pPr>
        <w:pStyle w:val="CUARTONIVELBULLETHUECA"/>
        <w:numPr>
          <w:ilvl w:val="0"/>
          <w:numId w:val="0"/>
        </w:numPr>
        <w:rPr>
          <w:b/>
          <w:color w:val="auto"/>
        </w:rPr>
      </w:pPr>
      <w:r>
        <w:rPr>
          <w:b/>
          <w:color w:val="auto"/>
        </w:rPr>
        <w:t xml:space="preserve">Estrategia </w:t>
      </w:r>
      <w:r w:rsidRPr="00D022CB">
        <w:rPr>
          <w:b/>
          <w:color w:val="auto"/>
        </w:rPr>
        <w:t xml:space="preserve">4.4 Alinear la oferta de crédito de los Intermediarios Financieros de forma que permitan replicar las estrategias de la Institución.  </w:t>
      </w:r>
    </w:p>
    <w:p w:rsidR="00567DC0" w:rsidRDefault="00567DC0" w:rsidP="00567DC0">
      <w:pPr>
        <w:pStyle w:val="CUARTONIVELBULLETHUECA"/>
        <w:numPr>
          <w:ilvl w:val="0"/>
          <w:numId w:val="0"/>
        </w:numPr>
        <w:rPr>
          <w:b/>
          <w:color w:val="auto"/>
        </w:rPr>
      </w:pPr>
    </w:p>
    <w:p w:rsidR="00567DC0" w:rsidRDefault="00567DC0" w:rsidP="00567DC0">
      <w:pPr>
        <w:pStyle w:val="CUARTONIVELBULLETHUECA"/>
        <w:numPr>
          <w:ilvl w:val="0"/>
          <w:numId w:val="0"/>
        </w:numPr>
        <w:rPr>
          <w:color w:val="auto"/>
        </w:rPr>
      </w:pPr>
      <w:r w:rsidRPr="00643A33">
        <w:rPr>
          <w:color w:val="auto"/>
        </w:rPr>
        <w:t xml:space="preserve">Para contribuir con esta estrategia y extender los objetivos de la Institución </w:t>
      </w:r>
      <w:r>
        <w:rPr>
          <w:color w:val="auto"/>
        </w:rPr>
        <w:t>hacia los</w:t>
      </w:r>
      <w:r w:rsidRPr="00643A33">
        <w:rPr>
          <w:color w:val="auto"/>
        </w:rPr>
        <w:t xml:space="preserve"> pequeños productores, durante el ejercicio 2017 se impartieron capacitaciones dirigidas a organizaciones de productores </w:t>
      </w:r>
      <w:r>
        <w:rPr>
          <w:color w:val="auto"/>
        </w:rPr>
        <w:t xml:space="preserve">considerados </w:t>
      </w:r>
      <w:r w:rsidRPr="00643A33">
        <w:rPr>
          <w:color w:val="auto"/>
        </w:rPr>
        <w:t>como prospectos a constituirse como EIF, con las especificaciones de atención a este segmento y a la operación del Programa de Financiamiento para Pequeños Productores.</w:t>
      </w:r>
    </w:p>
    <w:p w:rsidR="00567DC0" w:rsidRDefault="00567DC0" w:rsidP="00DE369C">
      <w:pPr>
        <w:pStyle w:val="CUARTONIVELBULLETHUECA"/>
        <w:numPr>
          <w:ilvl w:val="0"/>
          <w:numId w:val="0"/>
        </w:numPr>
        <w:rPr>
          <w:b/>
          <w:color w:val="auto"/>
        </w:rPr>
      </w:pPr>
    </w:p>
    <w:p w:rsidR="00A30FF0" w:rsidRDefault="00A30FF0" w:rsidP="00DE369C">
      <w:pPr>
        <w:pStyle w:val="CUARTONIVELBULLETHUECA"/>
        <w:numPr>
          <w:ilvl w:val="0"/>
          <w:numId w:val="0"/>
        </w:numPr>
        <w:rPr>
          <w:color w:val="auto"/>
        </w:rPr>
      </w:pPr>
      <w:r w:rsidRPr="00643A33">
        <w:rPr>
          <w:color w:val="auto"/>
        </w:rPr>
        <w:t>Adicionalmente</w:t>
      </w:r>
      <w:r>
        <w:rPr>
          <w:color w:val="auto"/>
        </w:rPr>
        <w:t>,</w:t>
      </w:r>
      <w:r w:rsidRPr="00643A33">
        <w:rPr>
          <w:color w:val="auto"/>
        </w:rPr>
        <w:t xml:space="preserve"> en las Coordinaciones Regionales </w:t>
      </w:r>
      <w:r>
        <w:rPr>
          <w:color w:val="auto"/>
        </w:rPr>
        <w:t xml:space="preserve">se </w:t>
      </w:r>
      <w:r w:rsidRPr="00643A33">
        <w:rPr>
          <w:color w:val="auto"/>
        </w:rPr>
        <w:t>continuó la identificación de las EIF interesadas en operar al amparo del Programa de Financiamiento para Pequeños Productores, con el objeto de capacitarlas</w:t>
      </w:r>
      <w:r>
        <w:rPr>
          <w:color w:val="auto"/>
        </w:rPr>
        <w:t xml:space="preserve"> en su instrumentación</w:t>
      </w:r>
      <w:r w:rsidRPr="00643A33">
        <w:rPr>
          <w:color w:val="auto"/>
        </w:rPr>
        <w:t xml:space="preserve">. Al término del </w:t>
      </w:r>
      <w:r>
        <w:rPr>
          <w:color w:val="auto"/>
        </w:rPr>
        <w:t xml:space="preserve">ejercicio </w:t>
      </w:r>
      <w:r w:rsidRPr="00643A33">
        <w:rPr>
          <w:color w:val="auto"/>
        </w:rPr>
        <w:t>2017, las EIF que tuvieron operaciones por primera vez al amparo de</w:t>
      </w:r>
      <w:r w:rsidR="00C27075">
        <w:rPr>
          <w:color w:val="auto"/>
        </w:rPr>
        <w:t xml:space="preserve"> este</w:t>
      </w:r>
      <w:r w:rsidRPr="00643A33">
        <w:rPr>
          <w:color w:val="auto"/>
        </w:rPr>
        <w:t xml:space="preserve"> Programa ascendieron a 50.</w:t>
      </w:r>
    </w:p>
    <w:p w:rsidR="00A30FF0" w:rsidRDefault="00A30FF0" w:rsidP="00A30FF0">
      <w:pPr>
        <w:pStyle w:val="CUARTONIVELBULLETHUECA"/>
        <w:numPr>
          <w:ilvl w:val="0"/>
          <w:numId w:val="0"/>
        </w:numPr>
        <w:rPr>
          <w:color w:val="auto"/>
        </w:rPr>
      </w:pPr>
      <w:r>
        <w:rPr>
          <w:color w:val="auto"/>
        </w:rPr>
        <w:t>En el tema de inclusión financiera a intermediarios financieros, s</w:t>
      </w:r>
      <w:r w:rsidRPr="00643A33">
        <w:rPr>
          <w:color w:val="auto"/>
        </w:rPr>
        <w:t xml:space="preserve">e </w:t>
      </w:r>
      <w:r>
        <w:rPr>
          <w:color w:val="auto"/>
        </w:rPr>
        <w:t xml:space="preserve">elaboró </w:t>
      </w:r>
      <w:r w:rsidRPr="00643A33">
        <w:rPr>
          <w:color w:val="auto"/>
        </w:rPr>
        <w:t xml:space="preserve">el Manual de Contabilidad para Instituciones Microfinancieras, con la finalidad de que éstas homologuen sus registros contables en términos de lo dispuesto por las Normas de Información Financiera y las disposiciones de la </w:t>
      </w:r>
      <w:r w:rsidR="00567DC0">
        <w:rPr>
          <w:color w:val="auto"/>
        </w:rPr>
        <w:t>CNBV.</w:t>
      </w:r>
    </w:p>
    <w:p w:rsidR="00A30FF0" w:rsidRDefault="00A30FF0" w:rsidP="00A30FF0">
      <w:pPr>
        <w:spacing w:after="0" w:line="240" w:lineRule="auto"/>
        <w:rPr>
          <w:b/>
        </w:rPr>
      </w:pPr>
    </w:p>
    <w:p w:rsidR="00567DC0" w:rsidRDefault="00567DC0" w:rsidP="00A30FF0">
      <w:pPr>
        <w:spacing w:after="0" w:line="240" w:lineRule="auto"/>
        <w:rPr>
          <w:b/>
        </w:rPr>
      </w:pPr>
    </w:p>
    <w:p w:rsidR="00567DC0" w:rsidRDefault="00567DC0" w:rsidP="00A30FF0">
      <w:pPr>
        <w:spacing w:after="0" w:line="240" w:lineRule="auto"/>
        <w:rPr>
          <w:b/>
        </w:rPr>
      </w:pPr>
    </w:p>
    <w:p w:rsidR="00567DC0" w:rsidRDefault="00567DC0" w:rsidP="00A30FF0">
      <w:pPr>
        <w:spacing w:after="0" w:line="240" w:lineRule="auto"/>
        <w:rPr>
          <w:b/>
        </w:rPr>
      </w:pPr>
    </w:p>
    <w:p w:rsidR="00567DC0" w:rsidRDefault="00567DC0" w:rsidP="00A30FF0">
      <w:pPr>
        <w:spacing w:after="0" w:line="240" w:lineRule="auto"/>
        <w:rPr>
          <w:b/>
        </w:rPr>
      </w:pPr>
    </w:p>
    <w:p w:rsidR="00567DC0" w:rsidRDefault="00567DC0" w:rsidP="00A30FF0">
      <w:pPr>
        <w:spacing w:after="0" w:line="240" w:lineRule="auto"/>
        <w:rPr>
          <w:b/>
        </w:rPr>
      </w:pPr>
    </w:p>
    <w:p w:rsidR="00567DC0" w:rsidRDefault="00567DC0" w:rsidP="00A30FF0">
      <w:pPr>
        <w:spacing w:after="0" w:line="240" w:lineRule="auto"/>
        <w:rPr>
          <w:b/>
        </w:rPr>
      </w:pPr>
    </w:p>
    <w:p w:rsidR="00567DC0" w:rsidRDefault="00567DC0" w:rsidP="00A30FF0">
      <w:pPr>
        <w:spacing w:after="0" w:line="240" w:lineRule="auto"/>
        <w:rPr>
          <w:b/>
        </w:rPr>
      </w:pPr>
    </w:p>
    <w:p w:rsidR="00567DC0" w:rsidRDefault="00567DC0" w:rsidP="00A30FF0">
      <w:pPr>
        <w:spacing w:after="0" w:line="240" w:lineRule="auto"/>
        <w:rPr>
          <w:b/>
        </w:rPr>
      </w:pPr>
    </w:p>
    <w:p w:rsidR="00567DC0" w:rsidRDefault="00567DC0" w:rsidP="00A30FF0">
      <w:pPr>
        <w:spacing w:after="0" w:line="240" w:lineRule="auto"/>
        <w:rPr>
          <w:b/>
        </w:rPr>
      </w:pPr>
    </w:p>
    <w:p w:rsidR="00567DC0" w:rsidRDefault="00567DC0" w:rsidP="00A30FF0">
      <w:pPr>
        <w:spacing w:after="0" w:line="240" w:lineRule="auto"/>
        <w:rPr>
          <w:b/>
        </w:rPr>
      </w:pPr>
    </w:p>
    <w:p w:rsidR="00567DC0" w:rsidRDefault="00567DC0" w:rsidP="00A30FF0">
      <w:pPr>
        <w:spacing w:after="0" w:line="240" w:lineRule="auto"/>
        <w:rPr>
          <w:b/>
        </w:rPr>
      </w:pPr>
    </w:p>
    <w:p w:rsidR="00567DC0" w:rsidRDefault="00567DC0" w:rsidP="00A30FF0">
      <w:pPr>
        <w:spacing w:after="0" w:line="240" w:lineRule="auto"/>
        <w:rPr>
          <w:b/>
        </w:rPr>
      </w:pPr>
    </w:p>
    <w:p w:rsidR="00567DC0" w:rsidRDefault="00567DC0" w:rsidP="00A30FF0">
      <w:pPr>
        <w:spacing w:after="0" w:line="240" w:lineRule="auto"/>
        <w:rPr>
          <w:b/>
        </w:rPr>
      </w:pPr>
    </w:p>
    <w:p w:rsidR="00567DC0" w:rsidRDefault="00567DC0" w:rsidP="00A30FF0">
      <w:pPr>
        <w:spacing w:after="0" w:line="240" w:lineRule="auto"/>
        <w:rPr>
          <w:b/>
        </w:rPr>
      </w:pPr>
    </w:p>
    <w:p w:rsidR="00567DC0" w:rsidRDefault="00567DC0" w:rsidP="00A30FF0">
      <w:pPr>
        <w:spacing w:after="0" w:line="240" w:lineRule="auto"/>
        <w:rPr>
          <w:b/>
        </w:rPr>
      </w:pPr>
    </w:p>
    <w:p w:rsidR="00567DC0" w:rsidRDefault="00567DC0" w:rsidP="00A30FF0">
      <w:pPr>
        <w:spacing w:after="0" w:line="240" w:lineRule="auto"/>
        <w:rPr>
          <w:b/>
        </w:rPr>
      </w:pPr>
    </w:p>
    <w:p w:rsidR="00567DC0" w:rsidRDefault="00567DC0" w:rsidP="00A30FF0">
      <w:pPr>
        <w:spacing w:after="0" w:line="240" w:lineRule="auto"/>
        <w:rPr>
          <w:b/>
        </w:rPr>
      </w:pPr>
    </w:p>
    <w:p w:rsidR="00567DC0" w:rsidRDefault="00567DC0" w:rsidP="00A30FF0">
      <w:pPr>
        <w:spacing w:after="0" w:line="240" w:lineRule="auto"/>
        <w:rPr>
          <w:b/>
        </w:rPr>
      </w:pPr>
    </w:p>
    <w:p w:rsidR="00567DC0" w:rsidRDefault="00567DC0" w:rsidP="00A30FF0">
      <w:pPr>
        <w:spacing w:after="0" w:line="240" w:lineRule="auto"/>
        <w:rPr>
          <w:b/>
        </w:rPr>
      </w:pPr>
    </w:p>
    <w:p w:rsidR="00567DC0" w:rsidRDefault="00567DC0" w:rsidP="00A30FF0">
      <w:pPr>
        <w:spacing w:after="0" w:line="240" w:lineRule="auto"/>
        <w:rPr>
          <w:b/>
        </w:rPr>
      </w:pPr>
    </w:p>
    <w:p w:rsidR="00567DC0" w:rsidRDefault="00567DC0" w:rsidP="00A30FF0">
      <w:pPr>
        <w:spacing w:after="0" w:line="240" w:lineRule="auto"/>
        <w:rPr>
          <w:b/>
        </w:rPr>
      </w:pPr>
    </w:p>
    <w:p w:rsidR="00567DC0" w:rsidRDefault="00567DC0" w:rsidP="00A30FF0">
      <w:pPr>
        <w:spacing w:after="0" w:line="240" w:lineRule="auto"/>
        <w:rPr>
          <w:b/>
        </w:rPr>
      </w:pPr>
    </w:p>
    <w:p w:rsidR="00567DC0" w:rsidRDefault="00567DC0" w:rsidP="00A30FF0">
      <w:pPr>
        <w:spacing w:after="0" w:line="240" w:lineRule="auto"/>
        <w:rPr>
          <w:b/>
        </w:rPr>
      </w:pPr>
    </w:p>
    <w:p w:rsidR="00567DC0" w:rsidRDefault="00567DC0" w:rsidP="00A30FF0">
      <w:pPr>
        <w:spacing w:after="0" w:line="240" w:lineRule="auto"/>
        <w:rPr>
          <w:b/>
        </w:rPr>
      </w:pPr>
    </w:p>
    <w:p w:rsidR="00567DC0" w:rsidRDefault="00567DC0" w:rsidP="00A30FF0">
      <w:pPr>
        <w:spacing w:after="0" w:line="240" w:lineRule="auto"/>
        <w:rPr>
          <w:b/>
        </w:rPr>
      </w:pPr>
    </w:p>
    <w:p w:rsidR="00567DC0" w:rsidRDefault="00567DC0" w:rsidP="00A30FF0">
      <w:pPr>
        <w:spacing w:after="0" w:line="240" w:lineRule="auto"/>
        <w:rPr>
          <w:b/>
        </w:rPr>
      </w:pPr>
    </w:p>
    <w:p w:rsidR="00567DC0" w:rsidRDefault="00567DC0" w:rsidP="00A30FF0">
      <w:pPr>
        <w:spacing w:after="0" w:line="240" w:lineRule="auto"/>
        <w:rPr>
          <w:b/>
        </w:rPr>
      </w:pPr>
    </w:p>
    <w:p w:rsidR="00567DC0" w:rsidRDefault="00567DC0" w:rsidP="00A30FF0">
      <w:pPr>
        <w:spacing w:after="0" w:line="240" w:lineRule="auto"/>
        <w:rPr>
          <w:b/>
        </w:rPr>
      </w:pPr>
    </w:p>
    <w:p w:rsidR="00567DC0" w:rsidRDefault="00567DC0" w:rsidP="00A30FF0">
      <w:pPr>
        <w:spacing w:after="0" w:line="240" w:lineRule="auto"/>
        <w:rPr>
          <w:b/>
        </w:rPr>
      </w:pPr>
    </w:p>
    <w:p w:rsidR="00567DC0" w:rsidRDefault="00567DC0" w:rsidP="00A30FF0">
      <w:pPr>
        <w:spacing w:after="0" w:line="240" w:lineRule="auto"/>
        <w:rPr>
          <w:b/>
        </w:rPr>
      </w:pPr>
    </w:p>
    <w:p w:rsidR="00567DC0" w:rsidRDefault="00567DC0" w:rsidP="00A30FF0">
      <w:pPr>
        <w:spacing w:after="0" w:line="240" w:lineRule="auto"/>
        <w:rPr>
          <w:b/>
        </w:rPr>
      </w:pPr>
    </w:p>
    <w:p w:rsidR="00567DC0" w:rsidRDefault="00567DC0" w:rsidP="00A30FF0">
      <w:pPr>
        <w:spacing w:after="0" w:line="240" w:lineRule="auto"/>
        <w:rPr>
          <w:b/>
        </w:rPr>
      </w:pPr>
    </w:p>
    <w:p w:rsidR="00567DC0" w:rsidRDefault="00567DC0" w:rsidP="00A30FF0">
      <w:pPr>
        <w:spacing w:after="0" w:line="240" w:lineRule="auto"/>
        <w:rPr>
          <w:b/>
        </w:rPr>
      </w:pPr>
    </w:p>
    <w:p w:rsidR="00567DC0" w:rsidRDefault="00567DC0" w:rsidP="00A30FF0">
      <w:pPr>
        <w:spacing w:after="0" w:line="240" w:lineRule="auto"/>
        <w:rPr>
          <w:b/>
        </w:rPr>
      </w:pPr>
    </w:p>
    <w:p w:rsidR="00567DC0" w:rsidRDefault="00567DC0" w:rsidP="00A30FF0">
      <w:pPr>
        <w:spacing w:after="0" w:line="240" w:lineRule="auto"/>
        <w:rPr>
          <w:b/>
        </w:rPr>
      </w:pPr>
    </w:p>
    <w:p w:rsidR="00567DC0" w:rsidRDefault="00567DC0" w:rsidP="00A30FF0">
      <w:pPr>
        <w:spacing w:after="0" w:line="240" w:lineRule="auto"/>
        <w:rPr>
          <w:b/>
        </w:rPr>
      </w:pPr>
    </w:p>
    <w:p w:rsidR="00567DC0" w:rsidRDefault="00567DC0" w:rsidP="00A30FF0">
      <w:pPr>
        <w:spacing w:after="0" w:line="240" w:lineRule="auto"/>
        <w:rPr>
          <w:b/>
        </w:rPr>
      </w:pPr>
    </w:p>
    <w:p w:rsidR="00567DC0" w:rsidRDefault="00567DC0" w:rsidP="00A30FF0">
      <w:pPr>
        <w:spacing w:after="0" w:line="240" w:lineRule="auto"/>
        <w:rPr>
          <w:b/>
        </w:rPr>
      </w:pPr>
    </w:p>
    <w:p w:rsidR="00567DC0" w:rsidRDefault="00567DC0" w:rsidP="00A30FF0">
      <w:pPr>
        <w:spacing w:after="0" w:line="240" w:lineRule="auto"/>
        <w:rPr>
          <w:b/>
        </w:rPr>
      </w:pPr>
    </w:p>
    <w:p w:rsidR="00567DC0" w:rsidRDefault="00567DC0" w:rsidP="00A30FF0">
      <w:pPr>
        <w:spacing w:after="0" w:line="240" w:lineRule="auto"/>
        <w:rPr>
          <w:b/>
        </w:rPr>
      </w:pPr>
    </w:p>
    <w:p w:rsidR="00567DC0" w:rsidRDefault="00567DC0" w:rsidP="00A30FF0">
      <w:pPr>
        <w:spacing w:after="0" w:line="240" w:lineRule="auto"/>
        <w:rPr>
          <w:b/>
        </w:rPr>
      </w:pPr>
    </w:p>
    <w:p w:rsidR="00567DC0" w:rsidRDefault="00567DC0" w:rsidP="00A30FF0">
      <w:pPr>
        <w:spacing w:after="0" w:line="240" w:lineRule="auto"/>
        <w:rPr>
          <w:b/>
        </w:rPr>
      </w:pPr>
    </w:p>
    <w:p w:rsidR="00567DC0" w:rsidRDefault="00567DC0" w:rsidP="00A30FF0">
      <w:pPr>
        <w:spacing w:after="0" w:line="240" w:lineRule="auto"/>
        <w:rPr>
          <w:b/>
        </w:rPr>
      </w:pPr>
    </w:p>
    <w:p w:rsidR="00567DC0" w:rsidRDefault="00567DC0" w:rsidP="00A30FF0">
      <w:pPr>
        <w:spacing w:after="0" w:line="240" w:lineRule="auto"/>
        <w:rPr>
          <w:b/>
        </w:rPr>
        <w:sectPr w:rsidR="00567DC0" w:rsidSect="000F6ADC">
          <w:type w:val="continuous"/>
          <w:pgSz w:w="12240" w:h="15840" w:code="1"/>
          <w:pgMar w:top="2268" w:right="1418" w:bottom="1134" w:left="1418" w:header="0" w:footer="567" w:gutter="0"/>
          <w:cols w:num="2" w:space="454"/>
          <w:docGrid w:linePitch="360"/>
        </w:sectPr>
      </w:pPr>
    </w:p>
    <w:p w:rsidR="00567DC0" w:rsidRDefault="00567DC0">
      <w:pPr>
        <w:spacing w:after="0" w:line="240" w:lineRule="auto"/>
        <w:jc w:val="left"/>
        <w:rPr>
          <w:rFonts w:ascii="Soberana Sans" w:hAnsi="Soberana Sans" w:cs="ACaslonPro-Bold"/>
          <w:b/>
          <w:bCs/>
          <w:sz w:val="20"/>
          <w:szCs w:val="20"/>
        </w:rPr>
      </w:pPr>
    </w:p>
    <w:p w:rsidR="00A30FF0" w:rsidRDefault="006171FC" w:rsidP="006171FC">
      <w:pPr>
        <w:pStyle w:val="TITULO5SECCIN"/>
      </w:pPr>
      <w:r>
        <w:lastRenderedPageBreak/>
        <w:t>Avance</w:t>
      </w:r>
      <w:r w:rsidR="00A30FF0">
        <w:t xml:space="preserve"> de los indicadores </w:t>
      </w:r>
    </w:p>
    <w:p w:rsidR="006171FC" w:rsidRPr="006171FC" w:rsidRDefault="006171FC" w:rsidP="006171FC"/>
    <w:tbl>
      <w:tblPr>
        <w:tblW w:w="897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70"/>
        <w:gridCol w:w="1212"/>
        <w:gridCol w:w="928"/>
        <w:gridCol w:w="1084"/>
        <w:gridCol w:w="928"/>
        <w:gridCol w:w="1083"/>
        <w:gridCol w:w="1083"/>
        <w:gridCol w:w="1083"/>
      </w:tblGrid>
      <w:tr w:rsidR="00A30FF0" w:rsidRPr="00D23A4A" w:rsidTr="000F6ADC">
        <w:trPr>
          <w:trHeight w:val="483"/>
          <w:jc w:val="center"/>
        </w:trPr>
        <w:tc>
          <w:tcPr>
            <w:tcW w:w="1570" w:type="dxa"/>
            <w:shd w:val="clear" w:color="auto" w:fill="D9D9D9"/>
            <w:vAlign w:val="center"/>
          </w:tcPr>
          <w:p w:rsidR="00A30FF0" w:rsidRPr="00D23A4A" w:rsidRDefault="00A30FF0" w:rsidP="000F6ADC">
            <w:pPr>
              <w:autoSpaceDE w:val="0"/>
              <w:autoSpaceDN w:val="0"/>
              <w:adjustRightInd w:val="0"/>
              <w:spacing w:before="160" w:after="160" w:line="240" w:lineRule="auto"/>
              <w:jc w:val="center"/>
              <w:rPr>
                <w:rFonts w:cs="ACaslonPro-Bold"/>
                <w:b/>
                <w:bCs/>
                <w:sz w:val="16"/>
                <w:szCs w:val="16"/>
              </w:rPr>
            </w:pPr>
            <w:r w:rsidRPr="00D23A4A">
              <w:rPr>
                <w:rFonts w:cs="ACaslonPro-Bold"/>
                <w:b/>
                <w:bCs/>
                <w:sz w:val="16"/>
                <w:szCs w:val="16"/>
              </w:rPr>
              <w:t>Nombre</w:t>
            </w:r>
          </w:p>
        </w:tc>
        <w:tc>
          <w:tcPr>
            <w:tcW w:w="1212" w:type="dxa"/>
            <w:shd w:val="clear" w:color="auto" w:fill="D9D9D9"/>
            <w:vAlign w:val="center"/>
          </w:tcPr>
          <w:p w:rsidR="00A30FF0" w:rsidRPr="00D23A4A" w:rsidRDefault="00A30FF0" w:rsidP="000F6ADC">
            <w:pPr>
              <w:autoSpaceDE w:val="0"/>
              <w:autoSpaceDN w:val="0"/>
              <w:adjustRightInd w:val="0"/>
              <w:spacing w:before="160" w:after="160" w:line="240" w:lineRule="auto"/>
              <w:jc w:val="center"/>
              <w:rPr>
                <w:rFonts w:cs="ACaslonPro-Bold"/>
                <w:b/>
                <w:bCs/>
                <w:sz w:val="16"/>
                <w:szCs w:val="16"/>
              </w:rPr>
            </w:pPr>
            <w:r w:rsidRPr="00D23A4A">
              <w:rPr>
                <w:rFonts w:cs="ACaslonPro-Bold"/>
                <w:b/>
                <w:bCs/>
                <w:sz w:val="16"/>
                <w:szCs w:val="16"/>
              </w:rPr>
              <w:t>Línea base</w:t>
            </w:r>
          </w:p>
        </w:tc>
        <w:tc>
          <w:tcPr>
            <w:tcW w:w="928" w:type="dxa"/>
            <w:shd w:val="clear" w:color="auto" w:fill="D9D9D9"/>
            <w:vAlign w:val="center"/>
          </w:tcPr>
          <w:p w:rsidR="00A30FF0" w:rsidRPr="00D23A4A" w:rsidRDefault="00A30FF0" w:rsidP="000F6ADC">
            <w:pPr>
              <w:autoSpaceDE w:val="0"/>
              <w:autoSpaceDN w:val="0"/>
              <w:adjustRightInd w:val="0"/>
              <w:spacing w:before="160" w:after="160" w:line="240" w:lineRule="auto"/>
              <w:jc w:val="center"/>
              <w:rPr>
                <w:rFonts w:cs="ACaslonPro-Bold"/>
                <w:b/>
                <w:bCs/>
                <w:sz w:val="16"/>
                <w:szCs w:val="16"/>
              </w:rPr>
            </w:pPr>
            <w:r>
              <w:rPr>
                <w:rFonts w:cs="ACaslonPro-Bold"/>
                <w:b/>
                <w:bCs/>
                <w:sz w:val="16"/>
                <w:szCs w:val="16"/>
              </w:rPr>
              <w:t>2013</w:t>
            </w:r>
          </w:p>
        </w:tc>
        <w:tc>
          <w:tcPr>
            <w:tcW w:w="1084" w:type="dxa"/>
            <w:shd w:val="clear" w:color="auto" w:fill="D9D9D9"/>
            <w:vAlign w:val="center"/>
          </w:tcPr>
          <w:p w:rsidR="00A30FF0" w:rsidRPr="00D23A4A" w:rsidRDefault="00A30FF0" w:rsidP="000F6ADC">
            <w:pPr>
              <w:autoSpaceDE w:val="0"/>
              <w:autoSpaceDN w:val="0"/>
              <w:adjustRightInd w:val="0"/>
              <w:spacing w:before="160" w:after="160" w:line="240" w:lineRule="auto"/>
              <w:jc w:val="center"/>
              <w:rPr>
                <w:rFonts w:cs="ACaslonPro-Bold"/>
                <w:b/>
                <w:bCs/>
                <w:sz w:val="16"/>
                <w:szCs w:val="16"/>
              </w:rPr>
            </w:pPr>
            <w:r w:rsidRPr="00D23A4A">
              <w:rPr>
                <w:rFonts w:cs="ACaslonPro-Bold"/>
                <w:b/>
                <w:bCs/>
                <w:sz w:val="16"/>
                <w:szCs w:val="16"/>
              </w:rPr>
              <w:t>2014</w:t>
            </w:r>
          </w:p>
        </w:tc>
        <w:tc>
          <w:tcPr>
            <w:tcW w:w="928" w:type="dxa"/>
            <w:shd w:val="clear" w:color="auto" w:fill="D9D9D9"/>
            <w:vAlign w:val="center"/>
          </w:tcPr>
          <w:p w:rsidR="00A30FF0" w:rsidRPr="00D23A4A" w:rsidRDefault="00A30FF0" w:rsidP="000F6ADC">
            <w:pPr>
              <w:autoSpaceDE w:val="0"/>
              <w:autoSpaceDN w:val="0"/>
              <w:adjustRightInd w:val="0"/>
              <w:spacing w:before="160" w:after="160" w:line="240" w:lineRule="auto"/>
              <w:jc w:val="center"/>
              <w:rPr>
                <w:rFonts w:cs="ACaslonPro-Bold"/>
                <w:b/>
                <w:bCs/>
                <w:sz w:val="16"/>
                <w:szCs w:val="16"/>
              </w:rPr>
            </w:pPr>
            <w:r>
              <w:rPr>
                <w:rFonts w:cs="ACaslonPro-Bold"/>
                <w:b/>
                <w:bCs/>
                <w:sz w:val="16"/>
                <w:szCs w:val="16"/>
              </w:rPr>
              <w:t>2015</w:t>
            </w:r>
          </w:p>
        </w:tc>
        <w:tc>
          <w:tcPr>
            <w:tcW w:w="1083" w:type="dxa"/>
            <w:shd w:val="clear" w:color="auto" w:fill="D9D9D9"/>
            <w:vAlign w:val="center"/>
          </w:tcPr>
          <w:p w:rsidR="00A30FF0" w:rsidRPr="00D23A4A" w:rsidRDefault="00A30FF0" w:rsidP="000F6ADC">
            <w:pPr>
              <w:autoSpaceDE w:val="0"/>
              <w:autoSpaceDN w:val="0"/>
              <w:adjustRightInd w:val="0"/>
              <w:spacing w:before="160" w:after="160" w:line="240" w:lineRule="auto"/>
              <w:jc w:val="center"/>
              <w:rPr>
                <w:rFonts w:cs="ACaslonPro-Bold"/>
                <w:b/>
                <w:bCs/>
                <w:sz w:val="16"/>
                <w:szCs w:val="16"/>
              </w:rPr>
            </w:pPr>
            <w:r>
              <w:rPr>
                <w:rFonts w:cs="ACaslonPro-Bold"/>
                <w:b/>
                <w:bCs/>
                <w:sz w:val="16"/>
                <w:szCs w:val="16"/>
              </w:rPr>
              <w:t>2016</w:t>
            </w:r>
          </w:p>
        </w:tc>
        <w:tc>
          <w:tcPr>
            <w:tcW w:w="1083" w:type="dxa"/>
            <w:shd w:val="clear" w:color="auto" w:fill="D9D9D9"/>
            <w:vAlign w:val="center"/>
          </w:tcPr>
          <w:p w:rsidR="00A30FF0" w:rsidRPr="00D23A4A" w:rsidRDefault="00A30FF0" w:rsidP="000F6ADC">
            <w:pPr>
              <w:autoSpaceDE w:val="0"/>
              <w:autoSpaceDN w:val="0"/>
              <w:adjustRightInd w:val="0"/>
              <w:spacing w:before="160" w:after="160" w:line="240" w:lineRule="auto"/>
              <w:jc w:val="center"/>
              <w:rPr>
                <w:rFonts w:cs="ACaslonPro-Bold"/>
                <w:b/>
                <w:bCs/>
                <w:sz w:val="16"/>
                <w:szCs w:val="16"/>
              </w:rPr>
            </w:pPr>
            <w:r>
              <w:rPr>
                <w:rFonts w:cs="ACaslonPro-Bold"/>
                <w:b/>
                <w:bCs/>
                <w:sz w:val="16"/>
                <w:szCs w:val="16"/>
              </w:rPr>
              <w:t>2017</w:t>
            </w:r>
          </w:p>
        </w:tc>
        <w:tc>
          <w:tcPr>
            <w:tcW w:w="1083" w:type="dxa"/>
            <w:shd w:val="clear" w:color="auto" w:fill="D9D9D9"/>
            <w:vAlign w:val="center"/>
          </w:tcPr>
          <w:p w:rsidR="00A30FF0" w:rsidRPr="00D23A4A" w:rsidRDefault="00A30FF0" w:rsidP="000F6ADC">
            <w:pPr>
              <w:autoSpaceDE w:val="0"/>
              <w:autoSpaceDN w:val="0"/>
              <w:adjustRightInd w:val="0"/>
              <w:spacing w:before="160" w:after="160" w:line="240" w:lineRule="auto"/>
              <w:jc w:val="center"/>
              <w:rPr>
                <w:rFonts w:cs="ACaslonPro-Bold"/>
                <w:b/>
                <w:bCs/>
                <w:sz w:val="16"/>
                <w:szCs w:val="16"/>
              </w:rPr>
            </w:pPr>
            <w:r w:rsidRPr="00D23A4A">
              <w:rPr>
                <w:rFonts w:cs="ACaslonPro-Bold"/>
                <w:b/>
                <w:bCs/>
                <w:sz w:val="16"/>
                <w:szCs w:val="16"/>
              </w:rPr>
              <w:t>Meta 2018</w:t>
            </w:r>
          </w:p>
        </w:tc>
      </w:tr>
      <w:tr w:rsidR="00A30FF0" w:rsidRPr="00D23A4A" w:rsidTr="000F6ADC">
        <w:trPr>
          <w:trHeight w:val="1837"/>
          <w:jc w:val="center"/>
        </w:trPr>
        <w:tc>
          <w:tcPr>
            <w:tcW w:w="1570" w:type="dxa"/>
            <w:shd w:val="clear" w:color="auto" w:fill="auto"/>
            <w:vAlign w:val="center"/>
          </w:tcPr>
          <w:p w:rsidR="00A30FF0" w:rsidRPr="00B2364B" w:rsidRDefault="00A30FF0" w:rsidP="001416E8">
            <w:pPr>
              <w:jc w:val="center"/>
              <w:rPr>
                <w:rFonts w:ascii="Soberana Sans" w:eastAsia="Cambria" w:hAnsi="Soberana Sans"/>
                <w:szCs w:val="17"/>
              </w:rPr>
            </w:pPr>
            <w:r w:rsidRPr="00B2364B">
              <w:rPr>
                <w:rFonts w:ascii="Soberana Sans" w:eastAsia="Cambria" w:hAnsi="Soberana Sans"/>
                <w:szCs w:val="17"/>
              </w:rPr>
              <w:t>Intermediarios Financieros Rurales con saldo de crédito al cierre del ejercicio.</w:t>
            </w:r>
          </w:p>
          <w:p w:rsidR="00A30FF0" w:rsidRPr="00071638" w:rsidRDefault="00A30FF0" w:rsidP="001416E8">
            <w:pPr>
              <w:jc w:val="center"/>
              <w:rPr>
                <w:rFonts w:ascii="Soberana Sans" w:eastAsia="Cambria" w:hAnsi="Soberana Sans"/>
                <w:szCs w:val="17"/>
                <w:highlight w:val="yellow"/>
              </w:rPr>
            </w:pPr>
            <w:r w:rsidRPr="00B2364B">
              <w:rPr>
                <w:rFonts w:ascii="Soberana Sans" w:eastAsia="Cambria" w:hAnsi="Soberana Sans"/>
                <w:szCs w:val="17"/>
              </w:rPr>
              <w:t>(Anual)</w:t>
            </w:r>
          </w:p>
        </w:tc>
        <w:tc>
          <w:tcPr>
            <w:tcW w:w="1212" w:type="dxa"/>
            <w:shd w:val="clear" w:color="auto" w:fill="auto"/>
            <w:vAlign w:val="center"/>
          </w:tcPr>
          <w:p w:rsidR="00A30FF0" w:rsidRPr="00F446C5" w:rsidRDefault="00A30FF0" w:rsidP="000F6ADC">
            <w:pPr>
              <w:jc w:val="center"/>
              <w:rPr>
                <w:rFonts w:ascii="Soberana Sans" w:eastAsia="Cambria" w:hAnsi="Soberana Sans"/>
                <w:szCs w:val="17"/>
              </w:rPr>
            </w:pPr>
            <w:r>
              <w:rPr>
                <w:rFonts w:ascii="Soberana Sans" w:eastAsia="Cambria" w:hAnsi="Soberana Sans"/>
                <w:szCs w:val="17"/>
              </w:rPr>
              <w:t>100%</w:t>
            </w:r>
          </w:p>
        </w:tc>
        <w:tc>
          <w:tcPr>
            <w:tcW w:w="928" w:type="dxa"/>
            <w:vAlign w:val="center"/>
          </w:tcPr>
          <w:p w:rsidR="00A30FF0" w:rsidRPr="00F446C5" w:rsidRDefault="00A30FF0" w:rsidP="000F6ADC">
            <w:pPr>
              <w:jc w:val="center"/>
              <w:rPr>
                <w:rFonts w:ascii="Soberana Sans" w:eastAsia="Cambria" w:hAnsi="Soberana Sans"/>
                <w:szCs w:val="17"/>
              </w:rPr>
            </w:pPr>
            <w:r>
              <w:rPr>
                <w:rFonts w:ascii="Soberana Sans" w:eastAsia="Cambria" w:hAnsi="Soberana Sans"/>
                <w:szCs w:val="17"/>
              </w:rPr>
              <w:t>NA</w:t>
            </w:r>
          </w:p>
        </w:tc>
        <w:tc>
          <w:tcPr>
            <w:tcW w:w="1084" w:type="dxa"/>
            <w:shd w:val="clear" w:color="auto" w:fill="auto"/>
            <w:vAlign w:val="center"/>
          </w:tcPr>
          <w:p w:rsidR="00A30FF0" w:rsidRPr="00F446C5" w:rsidRDefault="00A30FF0" w:rsidP="000F6ADC">
            <w:pPr>
              <w:jc w:val="center"/>
              <w:rPr>
                <w:rFonts w:ascii="Soberana Sans" w:eastAsia="Cambria" w:hAnsi="Soberana Sans"/>
                <w:szCs w:val="17"/>
              </w:rPr>
            </w:pPr>
            <w:r>
              <w:rPr>
                <w:rFonts w:ascii="Soberana Sans" w:eastAsia="Cambria" w:hAnsi="Soberana Sans"/>
                <w:szCs w:val="17"/>
              </w:rPr>
              <w:t>108.1%</w:t>
            </w:r>
          </w:p>
        </w:tc>
        <w:tc>
          <w:tcPr>
            <w:tcW w:w="928" w:type="dxa"/>
            <w:shd w:val="clear" w:color="auto" w:fill="auto"/>
            <w:vAlign w:val="center"/>
          </w:tcPr>
          <w:p w:rsidR="00A30FF0" w:rsidRPr="00F446C5" w:rsidRDefault="00A30FF0" w:rsidP="000F6ADC">
            <w:pPr>
              <w:jc w:val="center"/>
              <w:rPr>
                <w:rFonts w:ascii="Soberana Sans" w:eastAsia="Cambria" w:hAnsi="Soberana Sans"/>
                <w:szCs w:val="17"/>
              </w:rPr>
            </w:pPr>
            <w:r>
              <w:rPr>
                <w:rFonts w:ascii="Soberana Sans" w:eastAsia="Cambria" w:hAnsi="Soberana Sans"/>
                <w:szCs w:val="17"/>
              </w:rPr>
              <w:t>112.6%</w:t>
            </w:r>
          </w:p>
        </w:tc>
        <w:tc>
          <w:tcPr>
            <w:tcW w:w="1083" w:type="dxa"/>
            <w:vAlign w:val="center"/>
          </w:tcPr>
          <w:p w:rsidR="00A30FF0" w:rsidRPr="00F446C5" w:rsidRDefault="00A30FF0" w:rsidP="000F6ADC">
            <w:pPr>
              <w:jc w:val="center"/>
              <w:rPr>
                <w:rFonts w:ascii="Soberana Sans" w:eastAsia="Cambria" w:hAnsi="Soberana Sans"/>
                <w:szCs w:val="17"/>
              </w:rPr>
            </w:pPr>
            <w:r>
              <w:rPr>
                <w:rFonts w:ascii="Soberana Sans" w:eastAsia="Cambria" w:hAnsi="Soberana Sans"/>
                <w:szCs w:val="17"/>
              </w:rPr>
              <w:t>107.4%</w:t>
            </w:r>
          </w:p>
        </w:tc>
        <w:tc>
          <w:tcPr>
            <w:tcW w:w="1083" w:type="dxa"/>
            <w:vAlign w:val="center"/>
          </w:tcPr>
          <w:p w:rsidR="00A30FF0" w:rsidRPr="00F446C5" w:rsidRDefault="00A30FF0" w:rsidP="000F6ADC">
            <w:pPr>
              <w:jc w:val="center"/>
              <w:rPr>
                <w:rFonts w:ascii="Soberana Sans" w:eastAsia="Cambria" w:hAnsi="Soberana Sans"/>
                <w:szCs w:val="17"/>
              </w:rPr>
            </w:pPr>
            <w:r>
              <w:rPr>
                <w:rFonts w:ascii="Soberana Sans" w:eastAsia="Cambria" w:hAnsi="Soberana Sans"/>
                <w:szCs w:val="17"/>
              </w:rPr>
              <w:t>110.6%</w:t>
            </w:r>
          </w:p>
        </w:tc>
        <w:tc>
          <w:tcPr>
            <w:tcW w:w="1083" w:type="dxa"/>
            <w:shd w:val="clear" w:color="auto" w:fill="auto"/>
            <w:vAlign w:val="center"/>
          </w:tcPr>
          <w:p w:rsidR="00A30FF0" w:rsidRPr="00F446C5" w:rsidRDefault="00A30FF0" w:rsidP="000F6ADC">
            <w:pPr>
              <w:jc w:val="center"/>
              <w:rPr>
                <w:rFonts w:ascii="Soberana Sans" w:eastAsia="Cambria" w:hAnsi="Soberana Sans"/>
                <w:szCs w:val="17"/>
              </w:rPr>
            </w:pPr>
            <w:r>
              <w:rPr>
                <w:rFonts w:ascii="Soberana Sans" w:eastAsia="Cambria" w:hAnsi="Soberana Sans"/>
                <w:szCs w:val="17"/>
              </w:rPr>
              <w:t>200%</w:t>
            </w:r>
          </w:p>
        </w:tc>
      </w:tr>
    </w:tbl>
    <w:p w:rsidR="00A30FF0" w:rsidRPr="00B27353" w:rsidRDefault="00A30FF0" w:rsidP="00A30FF0">
      <w:pPr>
        <w:spacing w:after="0" w:line="240" w:lineRule="auto"/>
        <w:rPr>
          <w:lang w:val="es-ES_tradnl"/>
        </w:rPr>
      </w:pPr>
      <w:r w:rsidRPr="00B27353">
        <w:rPr>
          <w:lang w:val="es-ES_tradnl"/>
        </w:rPr>
        <w:t>Nota:</w:t>
      </w:r>
    </w:p>
    <w:p w:rsidR="00A30FF0" w:rsidRDefault="00A30FF0" w:rsidP="00A30FF0">
      <w:pPr>
        <w:spacing w:after="0" w:line="240" w:lineRule="auto"/>
        <w:rPr>
          <w:lang w:val="es-ES_tradnl"/>
        </w:rPr>
      </w:pPr>
      <w:r w:rsidRPr="00B27353">
        <w:rPr>
          <w:lang w:val="es-ES_tradnl"/>
        </w:rPr>
        <w:t>­ NA: No aplica, en tanto que, derivado del año de la línea base y la frecuencia de medición del indicador, no corresponde reportar valor observado del indicador para este año.</w:t>
      </w:r>
    </w:p>
    <w:p w:rsidR="00A30FF0" w:rsidRDefault="00A30FF0" w:rsidP="00A30FF0">
      <w:pPr>
        <w:pStyle w:val="TITULO5SECCIN"/>
        <w:rPr>
          <w:lang w:val="es-ES_tradnl"/>
        </w:rPr>
        <w:sectPr w:rsidR="00A30FF0" w:rsidSect="000F6ADC">
          <w:type w:val="continuous"/>
          <w:pgSz w:w="12240" w:h="15840" w:code="1"/>
          <w:pgMar w:top="2268" w:right="1418" w:bottom="1134" w:left="1418" w:header="0" w:footer="567" w:gutter="0"/>
          <w:cols w:space="454"/>
          <w:docGrid w:linePitch="360"/>
        </w:sectPr>
      </w:pPr>
    </w:p>
    <w:p w:rsidR="00A30FF0" w:rsidRDefault="00A30FF0" w:rsidP="00A30FF0">
      <w:pPr>
        <w:pStyle w:val="TITULO4OBJETIVO"/>
      </w:pPr>
    </w:p>
    <w:p w:rsidR="00A30FF0" w:rsidRDefault="00A30FF0" w:rsidP="00A30FF0">
      <w:pPr>
        <w:autoSpaceDE w:val="0"/>
        <w:autoSpaceDN w:val="0"/>
        <w:adjustRightInd w:val="0"/>
        <w:spacing w:before="160" w:after="160" w:line="240" w:lineRule="auto"/>
        <w:rPr>
          <w:rFonts w:ascii="Soberana Sans" w:hAnsi="Soberana Sans" w:cs="ACaslonPro-Regular"/>
          <w:b/>
          <w:sz w:val="24"/>
          <w:szCs w:val="24"/>
        </w:rPr>
      </w:pPr>
    </w:p>
    <w:p w:rsidR="00A30FF0" w:rsidRDefault="00A30FF0" w:rsidP="00A30FF0">
      <w:pPr>
        <w:autoSpaceDE w:val="0"/>
        <w:autoSpaceDN w:val="0"/>
        <w:adjustRightInd w:val="0"/>
        <w:spacing w:before="160" w:after="160" w:line="240" w:lineRule="auto"/>
        <w:rPr>
          <w:rFonts w:ascii="Soberana Sans" w:hAnsi="Soberana Sans" w:cs="ACaslonPro-Regular"/>
          <w:b/>
          <w:sz w:val="24"/>
          <w:szCs w:val="24"/>
        </w:rPr>
      </w:pPr>
    </w:p>
    <w:p w:rsidR="00A30FF0" w:rsidRDefault="00A30FF0" w:rsidP="00A30FF0">
      <w:pPr>
        <w:autoSpaceDE w:val="0"/>
        <w:autoSpaceDN w:val="0"/>
        <w:adjustRightInd w:val="0"/>
        <w:spacing w:before="160" w:after="160" w:line="240" w:lineRule="auto"/>
        <w:rPr>
          <w:rFonts w:ascii="Soberana Sans" w:hAnsi="Soberana Sans" w:cs="ACaslonPro-Regular"/>
          <w:b/>
          <w:sz w:val="24"/>
          <w:szCs w:val="24"/>
        </w:rPr>
      </w:pPr>
    </w:p>
    <w:p w:rsidR="00A30FF0" w:rsidRDefault="00A30FF0" w:rsidP="00A30FF0">
      <w:pPr>
        <w:autoSpaceDE w:val="0"/>
        <w:autoSpaceDN w:val="0"/>
        <w:adjustRightInd w:val="0"/>
        <w:spacing w:before="160" w:after="160" w:line="240" w:lineRule="auto"/>
        <w:rPr>
          <w:rFonts w:ascii="Soberana Sans" w:hAnsi="Soberana Sans" w:cs="ACaslonPro-Regular"/>
          <w:b/>
          <w:sz w:val="24"/>
          <w:szCs w:val="24"/>
        </w:rPr>
      </w:pPr>
    </w:p>
    <w:p w:rsidR="00A30FF0" w:rsidRDefault="00A30FF0" w:rsidP="00A30FF0">
      <w:pPr>
        <w:autoSpaceDE w:val="0"/>
        <w:autoSpaceDN w:val="0"/>
        <w:adjustRightInd w:val="0"/>
        <w:spacing w:before="160" w:after="160" w:line="240" w:lineRule="auto"/>
        <w:rPr>
          <w:rFonts w:ascii="Soberana Sans" w:hAnsi="Soberana Sans" w:cs="ACaslonPro-Regular"/>
          <w:b/>
          <w:sz w:val="24"/>
          <w:szCs w:val="24"/>
        </w:rPr>
      </w:pPr>
    </w:p>
    <w:p w:rsidR="00A30FF0" w:rsidRDefault="00A30FF0" w:rsidP="00A30FF0">
      <w:pPr>
        <w:autoSpaceDE w:val="0"/>
        <w:autoSpaceDN w:val="0"/>
        <w:adjustRightInd w:val="0"/>
        <w:spacing w:before="160" w:after="160" w:line="240" w:lineRule="auto"/>
        <w:rPr>
          <w:rFonts w:ascii="Soberana Sans" w:hAnsi="Soberana Sans" w:cs="ACaslonPro-Regular"/>
          <w:b/>
          <w:sz w:val="24"/>
          <w:szCs w:val="24"/>
        </w:rPr>
      </w:pPr>
    </w:p>
    <w:p w:rsidR="00A30FF0" w:rsidRDefault="00A30FF0" w:rsidP="00A30FF0">
      <w:pPr>
        <w:autoSpaceDE w:val="0"/>
        <w:autoSpaceDN w:val="0"/>
        <w:adjustRightInd w:val="0"/>
        <w:spacing w:before="160" w:after="160" w:line="240" w:lineRule="auto"/>
        <w:rPr>
          <w:rFonts w:ascii="Soberana Sans" w:hAnsi="Soberana Sans" w:cs="ACaslonPro-Regular"/>
          <w:b/>
          <w:sz w:val="24"/>
          <w:szCs w:val="24"/>
        </w:rPr>
      </w:pPr>
    </w:p>
    <w:p w:rsidR="00A30FF0" w:rsidRDefault="00A30FF0" w:rsidP="00A30FF0">
      <w:pPr>
        <w:autoSpaceDE w:val="0"/>
        <w:autoSpaceDN w:val="0"/>
        <w:adjustRightInd w:val="0"/>
        <w:spacing w:before="160" w:after="160" w:line="240" w:lineRule="auto"/>
        <w:rPr>
          <w:rFonts w:ascii="Soberana Sans" w:hAnsi="Soberana Sans" w:cs="ACaslonPro-Regular"/>
          <w:b/>
          <w:sz w:val="24"/>
          <w:szCs w:val="24"/>
        </w:rPr>
      </w:pPr>
    </w:p>
    <w:p w:rsidR="00A30FF0" w:rsidRDefault="00A30FF0" w:rsidP="00A30FF0">
      <w:pPr>
        <w:autoSpaceDE w:val="0"/>
        <w:autoSpaceDN w:val="0"/>
        <w:adjustRightInd w:val="0"/>
        <w:spacing w:before="160" w:after="160" w:line="240" w:lineRule="auto"/>
        <w:rPr>
          <w:rFonts w:ascii="Soberana Sans" w:hAnsi="Soberana Sans" w:cs="ACaslonPro-Regular"/>
          <w:b/>
          <w:sz w:val="24"/>
          <w:szCs w:val="24"/>
        </w:rPr>
      </w:pPr>
    </w:p>
    <w:p w:rsidR="00A30FF0" w:rsidRDefault="00A30FF0" w:rsidP="00A30FF0">
      <w:pPr>
        <w:autoSpaceDE w:val="0"/>
        <w:autoSpaceDN w:val="0"/>
        <w:adjustRightInd w:val="0"/>
        <w:spacing w:before="160" w:after="160" w:line="240" w:lineRule="auto"/>
        <w:rPr>
          <w:rFonts w:ascii="Soberana Sans" w:hAnsi="Soberana Sans" w:cs="ACaslonPro-Regular"/>
          <w:b/>
          <w:sz w:val="24"/>
          <w:szCs w:val="24"/>
        </w:rPr>
      </w:pPr>
    </w:p>
    <w:p w:rsidR="00A30FF0" w:rsidRDefault="00A30FF0" w:rsidP="00A30FF0">
      <w:pPr>
        <w:autoSpaceDE w:val="0"/>
        <w:autoSpaceDN w:val="0"/>
        <w:adjustRightInd w:val="0"/>
        <w:spacing w:before="160" w:after="160" w:line="240" w:lineRule="auto"/>
        <w:rPr>
          <w:rFonts w:ascii="Soberana Sans" w:hAnsi="Soberana Sans" w:cs="ACaslonPro-Regular"/>
          <w:b/>
          <w:sz w:val="24"/>
          <w:szCs w:val="24"/>
        </w:rPr>
      </w:pPr>
    </w:p>
    <w:p w:rsidR="00A30FF0" w:rsidRDefault="00A30FF0" w:rsidP="00A30FF0">
      <w:pPr>
        <w:autoSpaceDE w:val="0"/>
        <w:autoSpaceDN w:val="0"/>
        <w:adjustRightInd w:val="0"/>
        <w:spacing w:before="160" w:after="160" w:line="240" w:lineRule="auto"/>
        <w:rPr>
          <w:rFonts w:ascii="Soberana Sans" w:hAnsi="Soberana Sans" w:cs="ACaslonPro-Regular"/>
          <w:b/>
          <w:sz w:val="24"/>
          <w:szCs w:val="24"/>
        </w:rPr>
      </w:pPr>
    </w:p>
    <w:p w:rsidR="00A30FF0" w:rsidRDefault="00A30FF0" w:rsidP="00A30FF0">
      <w:pPr>
        <w:autoSpaceDE w:val="0"/>
        <w:autoSpaceDN w:val="0"/>
        <w:adjustRightInd w:val="0"/>
        <w:spacing w:before="160" w:after="160" w:line="240" w:lineRule="auto"/>
        <w:rPr>
          <w:rFonts w:ascii="Soberana Sans" w:hAnsi="Soberana Sans" w:cs="ACaslonPro-Regular"/>
          <w:b/>
          <w:sz w:val="24"/>
          <w:szCs w:val="24"/>
        </w:rPr>
      </w:pPr>
    </w:p>
    <w:p w:rsidR="00A30FF0" w:rsidRDefault="00A30FF0" w:rsidP="00A30FF0">
      <w:pPr>
        <w:autoSpaceDE w:val="0"/>
        <w:autoSpaceDN w:val="0"/>
        <w:adjustRightInd w:val="0"/>
        <w:spacing w:before="160" w:after="160" w:line="240" w:lineRule="auto"/>
        <w:rPr>
          <w:rFonts w:ascii="Soberana Sans" w:hAnsi="Soberana Sans" w:cs="ACaslonPro-Regular"/>
          <w:b/>
          <w:sz w:val="24"/>
          <w:szCs w:val="24"/>
        </w:rPr>
      </w:pPr>
    </w:p>
    <w:p w:rsidR="00A30FF0" w:rsidRDefault="00A30FF0" w:rsidP="00A30FF0">
      <w:pPr>
        <w:autoSpaceDE w:val="0"/>
        <w:autoSpaceDN w:val="0"/>
        <w:adjustRightInd w:val="0"/>
        <w:spacing w:before="160" w:after="160" w:line="240" w:lineRule="auto"/>
        <w:rPr>
          <w:rFonts w:ascii="Soberana Sans" w:hAnsi="Soberana Sans" w:cs="ACaslonPro-Regular"/>
          <w:b/>
          <w:sz w:val="24"/>
          <w:szCs w:val="24"/>
        </w:rPr>
      </w:pPr>
    </w:p>
    <w:p w:rsidR="00A30FF0" w:rsidRDefault="00A30FF0" w:rsidP="00A30FF0">
      <w:pPr>
        <w:autoSpaceDE w:val="0"/>
        <w:autoSpaceDN w:val="0"/>
        <w:adjustRightInd w:val="0"/>
        <w:spacing w:before="160" w:after="160" w:line="240" w:lineRule="auto"/>
        <w:rPr>
          <w:rFonts w:ascii="Soberana Sans" w:hAnsi="Soberana Sans" w:cs="ACaslonPro-Regular"/>
          <w:b/>
          <w:sz w:val="24"/>
          <w:szCs w:val="24"/>
        </w:rPr>
      </w:pPr>
    </w:p>
    <w:p w:rsidR="00A30FF0" w:rsidRDefault="00A30FF0" w:rsidP="00A30FF0">
      <w:pPr>
        <w:autoSpaceDE w:val="0"/>
        <w:autoSpaceDN w:val="0"/>
        <w:adjustRightInd w:val="0"/>
        <w:spacing w:before="160" w:after="160" w:line="240" w:lineRule="auto"/>
        <w:rPr>
          <w:rFonts w:ascii="Soberana Sans" w:hAnsi="Soberana Sans" w:cs="ACaslonPro-Regular"/>
          <w:b/>
          <w:sz w:val="24"/>
          <w:szCs w:val="24"/>
        </w:rPr>
      </w:pPr>
    </w:p>
    <w:p w:rsidR="00A30FF0" w:rsidRDefault="00A30FF0" w:rsidP="00A30FF0">
      <w:pPr>
        <w:autoSpaceDE w:val="0"/>
        <w:autoSpaceDN w:val="0"/>
        <w:adjustRightInd w:val="0"/>
        <w:spacing w:before="160" w:after="160" w:line="240" w:lineRule="auto"/>
        <w:rPr>
          <w:rFonts w:ascii="Soberana Sans" w:hAnsi="Soberana Sans" w:cs="ACaslonPro-Regular"/>
          <w:b/>
          <w:sz w:val="24"/>
          <w:szCs w:val="24"/>
        </w:rPr>
      </w:pPr>
    </w:p>
    <w:p w:rsidR="00A30FF0" w:rsidRDefault="00A30FF0" w:rsidP="00A30FF0">
      <w:pPr>
        <w:autoSpaceDE w:val="0"/>
        <w:autoSpaceDN w:val="0"/>
        <w:adjustRightInd w:val="0"/>
        <w:spacing w:before="160" w:after="160" w:line="240" w:lineRule="auto"/>
        <w:rPr>
          <w:rFonts w:ascii="Soberana Sans" w:hAnsi="Soberana Sans" w:cs="ACaslonPro-Regular"/>
          <w:b/>
          <w:sz w:val="24"/>
          <w:szCs w:val="24"/>
        </w:rPr>
      </w:pPr>
    </w:p>
    <w:p w:rsidR="00A30FF0" w:rsidRDefault="00A30FF0" w:rsidP="00A30FF0">
      <w:pPr>
        <w:autoSpaceDE w:val="0"/>
        <w:autoSpaceDN w:val="0"/>
        <w:adjustRightInd w:val="0"/>
        <w:spacing w:before="160" w:after="160" w:line="240" w:lineRule="auto"/>
        <w:rPr>
          <w:rFonts w:ascii="Soberana Sans" w:hAnsi="Soberana Sans" w:cs="ACaslonPro-Regular"/>
          <w:b/>
          <w:sz w:val="24"/>
          <w:szCs w:val="24"/>
        </w:rPr>
      </w:pPr>
    </w:p>
    <w:p w:rsidR="00A30FF0" w:rsidRDefault="00A30FF0" w:rsidP="00A30FF0">
      <w:pPr>
        <w:autoSpaceDE w:val="0"/>
        <w:autoSpaceDN w:val="0"/>
        <w:adjustRightInd w:val="0"/>
        <w:spacing w:before="160" w:after="160" w:line="240" w:lineRule="auto"/>
        <w:rPr>
          <w:rFonts w:ascii="Soberana Sans" w:hAnsi="Soberana Sans" w:cs="ACaslonPro-Regular"/>
          <w:b/>
          <w:sz w:val="24"/>
          <w:szCs w:val="24"/>
        </w:rPr>
      </w:pPr>
    </w:p>
    <w:p w:rsidR="00A30FF0" w:rsidRDefault="00A30FF0" w:rsidP="00A30FF0">
      <w:pPr>
        <w:autoSpaceDE w:val="0"/>
        <w:autoSpaceDN w:val="0"/>
        <w:adjustRightInd w:val="0"/>
        <w:spacing w:before="160" w:after="160" w:line="240" w:lineRule="auto"/>
        <w:rPr>
          <w:rFonts w:ascii="Soberana Sans" w:hAnsi="Soberana Sans" w:cs="ACaslonPro-Regular"/>
          <w:b/>
          <w:sz w:val="24"/>
          <w:szCs w:val="24"/>
        </w:rPr>
      </w:pPr>
    </w:p>
    <w:p w:rsidR="00A30FF0" w:rsidRDefault="00A30FF0" w:rsidP="00A30FF0">
      <w:pPr>
        <w:autoSpaceDE w:val="0"/>
        <w:autoSpaceDN w:val="0"/>
        <w:adjustRightInd w:val="0"/>
        <w:spacing w:before="160" w:after="160" w:line="240" w:lineRule="auto"/>
        <w:rPr>
          <w:rFonts w:ascii="Soberana Sans" w:hAnsi="Soberana Sans" w:cs="ACaslonPro-Regular"/>
          <w:b/>
          <w:sz w:val="24"/>
          <w:szCs w:val="24"/>
        </w:rPr>
      </w:pPr>
    </w:p>
    <w:p w:rsidR="00A30FF0" w:rsidRDefault="00A30FF0" w:rsidP="00A30FF0">
      <w:pPr>
        <w:autoSpaceDE w:val="0"/>
        <w:autoSpaceDN w:val="0"/>
        <w:adjustRightInd w:val="0"/>
        <w:spacing w:before="160" w:after="160" w:line="240" w:lineRule="auto"/>
        <w:rPr>
          <w:rFonts w:ascii="Soberana Sans" w:hAnsi="Soberana Sans" w:cs="ACaslonPro-Regular"/>
          <w:b/>
          <w:sz w:val="24"/>
          <w:szCs w:val="24"/>
        </w:rPr>
      </w:pPr>
    </w:p>
    <w:p w:rsidR="00A30FF0" w:rsidRDefault="00A30FF0" w:rsidP="00A30FF0">
      <w:pPr>
        <w:autoSpaceDE w:val="0"/>
        <w:autoSpaceDN w:val="0"/>
        <w:adjustRightInd w:val="0"/>
        <w:spacing w:before="160" w:after="160" w:line="240" w:lineRule="auto"/>
        <w:rPr>
          <w:rFonts w:ascii="Soberana Sans" w:hAnsi="Soberana Sans" w:cs="ACaslonPro-Regular"/>
          <w:b/>
          <w:sz w:val="24"/>
          <w:szCs w:val="24"/>
        </w:rPr>
      </w:pPr>
    </w:p>
    <w:p w:rsidR="00A30FF0" w:rsidRDefault="00A30FF0" w:rsidP="00A30FF0">
      <w:pPr>
        <w:autoSpaceDE w:val="0"/>
        <w:autoSpaceDN w:val="0"/>
        <w:adjustRightInd w:val="0"/>
        <w:spacing w:before="160" w:after="160" w:line="240" w:lineRule="auto"/>
        <w:rPr>
          <w:rFonts w:ascii="Soberana Sans" w:hAnsi="Soberana Sans" w:cs="ACaslonPro-Regular"/>
          <w:b/>
          <w:sz w:val="24"/>
          <w:szCs w:val="24"/>
        </w:rPr>
      </w:pPr>
    </w:p>
    <w:p w:rsidR="00A30FF0" w:rsidRDefault="00A30FF0" w:rsidP="00A30FF0">
      <w:pPr>
        <w:autoSpaceDE w:val="0"/>
        <w:autoSpaceDN w:val="0"/>
        <w:adjustRightInd w:val="0"/>
        <w:spacing w:before="160" w:after="160" w:line="240" w:lineRule="auto"/>
        <w:rPr>
          <w:rFonts w:ascii="Soberana Sans" w:hAnsi="Soberana Sans" w:cs="ACaslonPro-Regular"/>
          <w:b/>
          <w:sz w:val="24"/>
          <w:szCs w:val="24"/>
        </w:rPr>
      </w:pPr>
    </w:p>
    <w:p w:rsidR="00A30FF0" w:rsidRDefault="00A30FF0" w:rsidP="00A30FF0">
      <w:pPr>
        <w:autoSpaceDE w:val="0"/>
        <w:autoSpaceDN w:val="0"/>
        <w:adjustRightInd w:val="0"/>
        <w:spacing w:before="160" w:after="160" w:line="240" w:lineRule="auto"/>
        <w:rPr>
          <w:rFonts w:ascii="Soberana Sans" w:hAnsi="Soberana Sans" w:cs="ACaslonPro-Regular"/>
          <w:b/>
          <w:sz w:val="24"/>
          <w:szCs w:val="24"/>
        </w:rPr>
      </w:pPr>
    </w:p>
    <w:p w:rsidR="00A30FF0" w:rsidRDefault="00A30FF0" w:rsidP="00A30FF0">
      <w:pPr>
        <w:autoSpaceDE w:val="0"/>
        <w:autoSpaceDN w:val="0"/>
        <w:adjustRightInd w:val="0"/>
        <w:spacing w:before="160" w:after="160" w:line="240" w:lineRule="auto"/>
        <w:rPr>
          <w:rFonts w:ascii="Soberana Sans" w:hAnsi="Soberana Sans" w:cs="ACaslonPro-Regular"/>
          <w:b/>
          <w:sz w:val="24"/>
          <w:szCs w:val="24"/>
        </w:rPr>
      </w:pPr>
    </w:p>
    <w:p w:rsidR="00A30FF0" w:rsidRDefault="00A30FF0" w:rsidP="00A30FF0">
      <w:pPr>
        <w:autoSpaceDE w:val="0"/>
        <w:autoSpaceDN w:val="0"/>
        <w:adjustRightInd w:val="0"/>
        <w:spacing w:before="160" w:after="160" w:line="240" w:lineRule="auto"/>
        <w:rPr>
          <w:rFonts w:ascii="Soberana Sans" w:hAnsi="Soberana Sans" w:cs="ACaslonPro-Regular"/>
          <w:b/>
          <w:sz w:val="24"/>
          <w:szCs w:val="24"/>
        </w:rPr>
      </w:pPr>
    </w:p>
    <w:p w:rsidR="00A30FF0" w:rsidRDefault="00A30FF0" w:rsidP="00A30FF0">
      <w:pPr>
        <w:autoSpaceDE w:val="0"/>
        <w:autoSpaceDN w:val="0"/>
        <w:adjustRightInd w:val="0"/>
        <w:spacing w:before="160" w:after="160" w:line="240" w:lineRule="auto"/>
        <w:rPr>
          <w:rFonts w:ascii="Soberana Sans" w:hAnsi="Soberana Sans" w:cs="ACaslonPro-Regular"/>
          <w:b/>
          <w:sz w:val="24"/>
          <w:szCs w:val="24"/>
        </w:rPr>
      </w:pPr>
    </w:p>
    <w:p w:rsidR="00A30FF0" w:rsidRDefault="00A30FF0" w:rsidP="00A30FF0">
      <w:pPr>
        <w:autoSpaceDE w:val="0"/>
        <w:autoSpaceDN w:val="0"/>
        <w:adjustRightInd w:val="0"/>
        <w:spacing w:before="160" w:after="160" w:line="240" w:lineRule="auto"/>
        <w:rPr>
          <w:rFonts w:ascii="Soberana Sans" w:hAnsi="Soberana Sans" w:cs="ACaslonPro-Regular"/>
          <w:b/>
          <w:sz w:val="24"/>
          <w:szCs w:val="24"/>
        </w:rPr>
      </w:pPr>
      <w:r w:rsidRPr="00D37AB5">
        <w:rPr>
          <w:rFonts w:ascii="Soberana Sans" w:hAnsi="Soberana Sans" w:cs="ACaslonPro-Regular"/>
          <w:b/>
          <w:sz w:val="24"/>
          <w:szCs w:val="24"/>
        </w:rPr>
        <w:lastRenderedPageBreak/>
        <w:t>Objetivo 5. Incrementar la cobertura de servicios de la Institución</w:t>
      </w:r>
    </w:p>
    <w:p w:rsidR="003C4DD2" w:rsidRPr="00D37AB5" w:rsidRDefault="003C4DD2" w:rsidP="00C861A4">
      <w:pPr>
        <w:autoSpaceDE w:val="0"/>
        <w:autoSpaceDN w:val="0"/>
        <w:adjustRightInd w:val="0"/>
        <w:spacing w:before="120" w:after="120" w:line="220" w:lineRule="exact"/>
        <w:rPr>
          <w:rFonts w:ascii="Soberana Sans" w:hAnsi="Soberana Sans" w:cs="ACaslonPro-Regular"/>
          <w:b/>
          <w:sz w:val="24"/>
          <w:szCs w:val="24"/>
        </w:rPr>
      </w:pPr>
    </w:p>
    <w:p w:rsidR="00A30FF0" w:rsidRDefault="00A30FF0" w:rsidP="00C861A4">
      <w:pPr>
        <w:autoSpaceDE w:val="0"/>
        <w:autoSpaceDN w:val="0"/>
        <w:adjustRightInd w:val="0"/>
        <w:spacing w:before="120" w:after="120" w:line="220" w:lineRule="exact"/>
        <w:rPr>
          <w:szCs w:val="17"/>
          <w:lang w:eastAsia="es-MX"/>
        </w:rPr>
      </w:pPr>
      <w:r w:rsidRPr="00D37AB5">
        <w:rPr>
          <w:szCs w:val="17"/>
          <w:lang w:eastAsia="es-MX"/>
        </w:rPr>
        <w:t>El esfuerzo emprendido durante el ejercicio 2017 para expandir la cobertura de servicios, se centró en consolidar sinergias con otras instituciones nacionales e internacionales para impulsar el financiamiento focalizado y fortalecer la capacitación en materia de financiamiento dirigida tanto a productores como a entidades potencialmente dispersoras de crédito.</w:t>
      </w:r>
    </w:p>
    <w:p w:rsidR="00C861A4" w:rsidRPr="00D37AB5" w:rsidRDefault="00C861A4" w:rsidP="00C861A4">
      <w:pPr>
        <w:autoSpaceDE w:val="0"/>
        <w:autoSpaceDN w:val="0"/>
        <w:adjustRightInd w:val="0"/>
        <w:spacing w:before="120" w:after="120" w:line="220" w:lineRule="exact"/>
        <w:rPr>
          <w:szCs w:val="17"/>
          <w:lang w:eastAsia="es-MX"/>
        </w:rPr>
      </w:pPr>
    </w:p>
    <w:p w:rsidR="00A30FF0" w:rsidRPr="00D37AB5" w:rsidRDefault="00A30FF0" w:rsidP="00C861A4">
      <w:pPr>
        <w:spacing w:before="120" w:after="120" w:line="220" w:lineRule="exact"/>
        <w:rPr>
          <w:szCs w:val="17"/>
          <w:lang w:eastAsia="es-MX"/>
        </w:rPr>
      </w:pPr>
      <w:r w:rsidRPr="00D37AB5">
        <w:rPr>
          <w:szCs w:val="17"/>
          <w:lang w:eastAsia="es-MX"/>
        </w:rPr>
        <w:t>Es también destacabl</w:t>
      </w:r>
      <w:r w:rsidR="007B5C08">
        <w:rPr>
          <w:szCs w:val="17"/>
          <w:lang w:eastAsia="es-MX"/>
        </w:rPr>
        <w:t xml:space="preserve">e la contribución de las </w:t>
      </w:r>
      <w:r w:rsidRPr="00D37AB5">
        <w:rPr>
          <w:szCs w:val="17"/>
          <w:lang w:eastAsia="es-MX"/>
        </w:rPr>
        <w:t xml:space="preserve">EIF a través de las cuales los productores rurales que residen en localidades alejadas de los centros urbanos, reciben crédito de la </w:t>
      </w:r>
      <w:r w:rsidR="00D9089C">
        <w:rPr>
          <w:szCs w:val="17"/>
        </w:rPr>
        <w:t>FND</w:t>
      </w:r>
      <w:r w:rsidRPr="00D37AB5">
        <w:rPr>
          <w:szCs w:val="17"/>
          <w:lang w:eastAsia="es-MX"/>
        </w:rPr>
        <w:t>.</w:t>
      </w:r>
    </w:p>
    <w:p w:rsidR="00A30FF0" w:rsidRPr="00D37AB5" w:rsidRDefault="00A30FF0" w:rsidP="00C861A4">
      <w:pPr>
        <w:spacing w:before="120" w:after="120" w:line="220" w:lineRule="exact"/>
        <w:rPr>
          <w:szCs w:val="17"/>
          <w:lang w:eastAsia="es-MX"/>
        </w:rPr>
      </w:pPr>
    </w:p>
    <w:p w:rsidR="00A30FF0" w:rsidRDefault="00A30FF0" w:rsidP="00C861A4">
      <w:pPr>
        <w:autoSpaceDE w:val="0"/>
        <w:autoSpaceDN w:val="0"/>
        <w:adjustRightInd w:val="0"/>
        <w:spacing w:before="120" w:after="120" w:line="220" w:lineRule="exact"/>
        <w:rPr>
          <w:rFonts w:ascii="Soberana Sans" w:hAnsi="Soberana Sans" w:cs="ACaslonPro-Bold"/>
          <w:b/>
          <w:bCs/>
          <w:sz w:val="20"/>
          <w:szCs w:val="20"/>
        </w:rPr>
      </w:pPr>
      <w:r w:rsidRPr="00D37AB5">
        <w:rPr>
          <w:rFonts w:ascii="Soberana Sans" w:hAnsi="Soberana Sans" w:cs="ACaslonPro-Bold"/>
          <w:b/>
          <w:bCs/>
          <w:sz w:val="20"/>
          <w:szCs w:val="20"/>
        </w:rPr>
        <w:t>Resultados</w:t>
      </w:r>
    </w:p>
    <w:p w:rsidR="003C4DD2" w:rsidRPr="00D37AB5" w:rsidRDefault="003C4DD2" w:rsidP="00C861A4">
      <w:pPr>
        <w:autoSpaceDE w:val="0"/>
        <w:autoSpaceDN w:val="0"/>
        <w:adjustRightInd w:val="0"/>
        <w:spacing w:before="120" w:after="120" w:line="220" w:lineRule="exact"/>
        <w:rPr>
          <w:rFonts w:ascii="Soberana Sans" w:hAnsi="Soberana Sans" w:cs="ACaslonPro-Bold"/>
          <w:b/>
          <w:bCs/>
          <w:sz w:val="20"/>
          <w:szCs w:val="20"/>
        </w:rPr>
      </w:pPr>
    </w:p>
    <w:p w:rsidR="00A30FF0" w:rsidRPr="00D37AB5" w:rsidRDefault="00A30FF0" w:rsidP="00C861A4">
      <w:pPr>
        <w:spacing w:before="120" w:after="120" w:line="220" w:lineRule="exact"/>
        <w:rPr>
          <w:rFonts w:eastAsia="Times New Roman"/>
          <w:szCs w:val="17"/>
          <w:lang w:val="es-ES" w:eastAsia="es-MX"/>
        </w:rPr>
      </w:pPr>
      <w:r w:rsidRPr="00D37AB5">
        <w:rPr>
          <w:rFonts w:eastAsia="Times New Roman"/>
          <w:szCs w:val="17"/>
          <w:lang w:val="es-ES" w:eastAsia="es-MX"/>
        </w:rPr>
        <w:t>La FND al cierre de 2017 alcanzó una cobertura en 2,</w:t>
      </w:r>
      <w:r>
        <w:rPr>
          <w:rFonts w:eastAsia="Times New Roman"/>
          <w:szCs w:val="17"/>
          <w:lang w:val="es-ES" w:eastAsia="es-MX"/>
        </w:rPr>
        <w:t>318</w:t>
      </w:r>
      <w:r w:rsidRPr="00D37AB5">
        <w:rPr>
          <w:rFonts w:eastAsia="Times New Roman"/>
          <w:szCs w:val="17"/>
          <w:lang w:val="es-ES" w:eastAsia="es-MX"/>
        </w:rPr>
        <w:t xml:space="preserve"> municipios en el país (94.4% del total nacional), considerando tanto el crédito conferido a clientes directos como el otorgado a través de la red de EIF.</w:t>
      </w:r>
    </w:p>
    <w:p w:rsidR="00A30FF0" w:rsidRPr="00D37AB5" w:rsidRDefault="00A30FF0" w:rsidP="00C861A4">
      <w:pPr>
        <w:spacing w:before="120" w:after="120" w:line="220" w:lineRule="exact"/>
        <w:rPr>
          <w:szCs w:val="17"/>
          <w:lang w:eastAsia="es-MX"/>
        </w:rPr>
      </w:pPr>
    </w:p>
    <w:p w:rsidR="00A30FF0" w:rsidRDefault="00A30FF0" w:rsidP="00C861A4">
      <w:pPr>
        <w:autoSpaceDE w:val="0"/>
        <w:autoSpaceDN w:val="0"/>
        <w:adjustRightInd w:val="0"/>
        <w:spacing w:before="120" w:after="120" w:line="220" w:lineRule="exact"/>
        <w:rPr>
          <w:rFonts w:ascii="Soberana Sans" w:hAnsi="Soberana Sans" w:cs="ACaslonPro-Bold"/>
          <w:b/>
          <w:bCs/>
          <w:sz w:val="20"/>
          <w:szCs w:val="20"/>
        </w:rPr>
      </w:pPr>
      <w:bookmarkStart w:id="13" w:name="_Toc411595743"/>
      <w:r w:rsidRPr="00D37AB5">
        <w:rPr>
          <w:rFonts w:ascii="Soberana Sans" w:hAnsi="Soberana Sans" w:cs="ACaslonPro-Bold"/>
          <w:b/>
          <w:bCs/>
          <w:sz w:val="20"/>
          <w:szCs w:val="20"/>
        </w:rPr>
        <w:t>Actividades Relevantes</w:t>
      </w:r>
      <w:bookmarkEnd w:id="13"/>
    </w:p>
    <w:p w:rsidR="003C4DD2" w:rsidRPr="00D37AB5" w:rsidRDefault="003C4DD2" w:rsidP="00C861A4">
      <w:pPr>
        <w:autoSpaceDE w:val="0"/>
        <w:autoSpaceDN w:val="0"/>
        <w:adjustRightInd w:val="0"/>
        <w:spacing w:before="120" w:after="120" w:line="220" w:lineRule="exact"/>
        <w:rPr>
          <w:rFonts w:ascii="Soberana Sans" w:hAnsi="Soberana Sans" w:cs="ACaslonPro-Bold"/>
          <w:b/>
          <w:bCs/>
          <w:sz w:val="20"/>
          <w:szCs w:val="20"/>
        </w:rPr>
      </w:pPr>
    </w:p>
    <w:p w:rsidR="00A30FF0" w:rsidRDefault="00A30FF0" w:rsidP="00C861A4">
      <w:pPr>
        <w:keepNext/>
        <w:spacing w:before="120" w:after="120" w:line="220" w:lineRule="exact"/>
        <w:outlineLvl w:val="2"/>
        <w:rPr>
          <w:rFonts w:eastAsia="Times New Roman"/>
          <w:b/>
          <w:bCs/>
          <w:iCs/>
          <w:szCs w:val="17"/>
          <w:lang w:val="es-ES" w:eastAsia="es-ES"/>
        </w:rPr>
      </w:pPr>
      <w:bookmarkStart w:id="14" w:name="_Toc411595744"/>
      <w:bookmarkStart w:id="15" w:name="_Toc412214576"/>
      <w:r w:rsidRPr="00D37AB5">
        <w:rPr>
          <w:rFonts w:eastAsia="Times New Roman"/>
          <w:b/>
          <w:bCs/>
          <w:iCs/>
          <w:szCs w:val="17"/>
          <w:lang w:val="es-ES" w:eastAsia="es-ES"/>
        </w:rPr>
        <w:t>Estrategia 5.1. Fortalecer y diseñar productos de financiamiento focalizados</w:t>
      </w:r>
      <w:bookmarkEnd w:id="14"/>
      <w:bookmarkEnd w:id="15"/>
      <w:r w:rsidR="00A17DD7">
        <w:rPr>
          <w:rFonts w:eastAsia="Times New Roman"/>
          <w:b/>
          <w:bCs/>
          <w:iCs/>
          <w:szCs w:val="17"/>
          <w:lang w:val="es-ES" w:eastAsia="es-ES"/>
        </w:rPr>
        <w:t>.</w:t>
      </w:r>
    </w:p>
    <w:p w:rsidR="003C4DD2" w:rsidRPr="00D37AB5" w:rsidRDefault="003C4DD2" w:rsidP="00C861A4">
      <w:pPr>
        <w:keepNext/>
        <w:spacing w:before="120" w:after="120" w:line="220" w:lineRule="exact"/>
        <w:outlineLvl w:val="2"/>
        <w:rPr>
          <w:rFonts w:eastAsia="Times New Roman"/>
          <w:b/>
          <w:bCs/>
          <w:iCs/>
          <w:szCs w:val="17"/>
          <w:lang w:val="es-ES" w:eastAsia="es-ES"/>
        </w:rPr>
      </w:pPr>
    </w:p>
    <w:p w:rsidR="00A30FF0" w:rsidRPr="00D37AB5" w:rsidRDefault="00A30FF0" w:rsidP="00C861A4">
      <w:pPr>
        <w:spacing w:before="120" w:after="120" w:line="220" w:lineRule="exact"/>
        <w:rPr>
          <w:szCs w:val="17"/>
          <w:lang w:eastAsia="es-MX"/>
        </w:rPr>
      </w:pPr>
      <w:r w:rsidRPr="00D37AB5">
        <w:rPr>
          <w:szCs w:val="17"/>
          <w:lang w:eastAsia="es-MX"/>
        </w:rPr>
        <w:t>Con la finalidad de brindar soporte a las propuestas de diseño de nuevos productos de financiamiento, se realizaron diversos análisis con la finalidad de identificar geográficamente el mercado objetivo reconociendo el contexto de la producción primaria, así como la atención de localidades rurales y no rurales de la FND de 2013 a 2017.</w:t>
      </w:r>
    </w:p>
    <w:p w:rsidR="00A30FF0" w:rsidRPr="00D37AB5" w:rsidRDefault="00A30FF0" w:rsidP="00C861A4">
      <w:pPr>
        <w:spacing w:before="120" w:after="120" w:line="220" w:lineRule="exact"/>
        <w:rPr>
          <w:szCs w:val="17"/>
          <w:lang w:eastAsia="es-MX"/>
        </w:rPr>
      </w:pPr>
    </w:p>
    <w:p w:rsidR="00A30FF0" w:rsidRPr="00D37AB5" w:rsidRDefault="00A30FF0" w:rsidP="00C861A4">
      <w:pPr>
        <w:spacing w:before="120" w:after="120" w:line="220" w:lineRule="exact"/>
        <w:rPr>
          <w:szCs w:val="17"/>
          <w:lang w:eastAsia="es-MX"/>
        </w:rPr>
      </w:pPr>
      <w:r w:rsidRPr="00BB00F6">
        <w:rPr>
          <w:szCs w:val="17"/>
          <w:lang w:eastAsia="es-MX"/>
        </w:rPr>
        <w:t>En materia de coordinación inter institucional se continuó con la operación del Fondo para la Inclusión Financie</w:t>
      </w:r>
      <w:r w:rsidR="00BB00F6" w:rsidRPr="00BB00F6">
        <w:rPr>
          <w:szCs w:val="17"/>
          <w:lang w:eastAsia="es-MX"/>
        </w:rPr>
        <w:t>ra del Sector Forestal</w:t>
      </w:r>
      <w:r w:rsidRPr="00BB00F6">
        <w:rPr>
          <w:szCs w:val="17"/>
          <w:lang w:eastAsia="es-MX"/>
        </w:rPr>
        <w:t xml:space="preserve"> a través del cuarto convenio modificatorio al Convenio Específico entre la FND y </w:t>
      </w:r>
      <w:r w:rsidR="00C27075" w:rsidRPr="00BB00F6">
        <w:rPr>
          <w:szCs w:val="17"/>
          <w:lang w:eastAsia="es-MX"/>
        </w:rPr>
        <w:t>la Comisi</w:t>
      </w:r>
      <w:r w:rsidR="00BB00F6" w:rsidRPr="00BB00F6">
        <w:rPr>
          <w:szCs w:val="17"/>
          <w:lang w:eastAsia="es-MX"/>
        </w:rPr>
        <w:t>ón Nacional Forestal</w:t>
      </w:r>
      <w:r w:rsidRPr="00BB00F6">
        <w:rPr>
          <w:szCs w:val="17"/>
          <w:lang w:eastAsia="es-MX"/>
        </w:rPr>
        <w:t>. De lo anterior, d</w:t>
      </w:r>
      <w:r w:rsidR="00C27075" w:rsidRPr="00BB00F6">
        <w:rPr>
          <w:szCs w:val="17"/>
          <w:lang w:eastAsia="es-MX"/>
        </w:rPr>
        <w:t>urante el ejercicio</w:t>
      </w:r>
      <w:r w:rsidRPr="00BB00F6">
        <w:rPr>
          <w:szCs w:val="17"/>
          <w:lang w:eastAsia="es-MX"/>
        </w:rPr>
        <w:t xml:space="preserve"> 2017, se dispersa</w:t>
      </w:r>
      <w:r w:rsidR="00C27075" w:rsidRPr="00BB00F6">
        <w:rPr>
          <w:szCs w:val="17"/>
          <w:lang w:eastAsia="es-MX"/>
        </w:rPr>
        <w:t>ron</w:t>
      </w:r>
      <w:r w:rsidRPr="00BB00F6">
        <w:rPr>
          <w:szCs w:val="17"/>
          <w:lang w:eastAsia="es-MX"/>
        </w:rPr>
        <w:t xml:space="preserve"> 26 solicitudes de garantías por un monto de $8.73 mdp, permitiendo otorgar $86.168 mdp en crédito.</w:t>
      </w:r>
      <w:r w:rsidRPr="00D37AB5">
        <w:rPr>
          <w:szCs w:val="17"/>
          <w:lang w:eastAsia="es-MX"/>
        </w:rPr>
        <w:t xml:space="preserve"> </w:t>
      </w:r>
    </w:p>
    <w:p w:rsidR="00A30FF0" w:rsidRPr="00D37AB5" w:rsidRDefault="00A30FF0" w:rsidP="00C861A4">
      <w:pPr>
        <w:spacing w:before="120" w:after="120" w:line="220" w:lineRule="exact"/>
        <w:rPr>
          <w:szCs w:val="17"/>
          <w:lang w:eastAsia="es-MX"/>
        </w:rPr>
      </w:pPr>
      <w:r w:rsidRPr="00D37AB5">
        <w:rPr>
          <w:szCs w:val="17"/>
          <w:lang w:eastAsia="es-MX"/>
        </w:rPr>
        <w:t>Asimismo, se realizaron las gestiones correspondientes al contrato 4276 con el Banco Interamericano de Desarrollo perteneciente al programa CCLIP</w:t>
      </w:r>
      <w:r w:rsidR="00C92124">
        <w:rPr>
          <w:szCs w:val="17"/>
          <w:lang w:eastAsia="es-MX"/>
        </w:rPr>
        <w:t>.</w:t>
      </w:r>
    </w:p>
    <w:p w:rsidR="00A30FF0" w:rsidRPr="00D37AB5" w:rsidRDefault="00A30FF0" w:rsidP="00C861A4">
      <w:pPr>
        <w:spacing w:before="120" w:after="120" w:line="220" w:lineRule="exact"/>
        <w:rPr>
          <w:rFonts w:ascii="Soberana Sans" w:hAnsi="Soberana Sans"/>
          <w:sz w:val="20"/>
          <w:lang w:eastAsia="es-MX"/>
        </w:rPr>
      </w:pPr>
    </w:p>
    <w:p w:rsidR="00A30FF0" w:rsidRDefault="00A30FF0" w:rsidP="00C861A4">
      <w:pPr>
        <w:keepNext/>
        <w:spacing w:before="120" w:after="120" w:line="220" w:lineRule="exact"/>
        <w:outlineLvl w:val="2"/>
        <w:rPr>
          <w:rFonts w:eastAsia="Times New Roman"/>
          <w:b/>
          <w:bCs/>
          <w:iCs/>
          <w:szCs w:val="17"/>
          <w:lang w:val="es-ES" w:eastAsia="es-ES"/>
        </w:rPr>
      </w:pPr>
      <w:bookmarkStart w:id="16" w:name="_Toc411595745"/>
      <w:bookmarkStart w:id="17" w:name="_Toc412214577"/>
      <w:r w:rsidRPr="00D37AB5">
        <w:rPr>
          <w:rFonts w:eastAsia="Times New Roman"/>
          <w:b/>
          <w:bCs/>
          <w:iCs/>
          <w:szCs w:val="17"/>
          <w:lang w:val="es-ES" w:eastAsia="es-ES"/>
        </w:rPr>
        <w:t>Estrategia 5.2. Capacitar a la población rural en la utilización del financiamiento</w:t>
      </w:r>
      <w:bookmarkEnd w:id="16"/>
      <w:bookmarkEnd w:id="17"/>
      <w:r w:rsidR="00A17DD7">
        <w:rPr>
          <w:rFonts w:eastAsia="Times New Roman"/>
          <w:b/>
          <w:bCs/>
          <w:iCs/>
          <w:szCs w:val="17"/>
          <w:lang w:val="es-ES" w:eastAsia="es-ES"/>
        </w:rPr>
        <w:t>.</w:t>
      </w:r>
    </w:p>
    <w:p w:rsidR="003C4DD2" w:rsidRPr="00D37AB5" w:rsidRDefault="003C4DD2" w:rsidP="00C861A4">
      <w:pPr>
        <w:keepNext/>
        <w:spacing w:before="120" w:after="120" w:line="220" w:lineRule="exact"/>
        <w:outlineLvl w:val="2"/>
        <w:rPr>
          <w:rFonts w:eastAsia="Times New Roman"/>
          <w:b/>
          <w:bCs/>
          <w:iCs/>
          <w:szCs w:val="17"/>
          <w:lang w:val="es-ES" w:eastAsia="es-ES"/>
        </w:rPr>
      </w:pPr>
    </w:p>
    <w:p w:rsidR="00A30FF0" w:rsidRDefault="00A30FF0" w:rsidP="00C861A4">
      <w:pPr>
        <w:autoSpaceDE w:val="0"/>
        <w:autoSpaceDN w:val="0"/>
        <w:adjustRightInd w:val="0"/>
        <w:spacing w:before="120" w:after="120" w:line="220" w:lineRule="exact"/>
        <w:rPr>
          <w:rFonts w:cs="ACaslonPro-Regular"/>
          <w:szCs w:val="17"/>
          <w:lang w:val="es-ES_tradnl"/>
        </w:rPr>
      </w:pPr>
      <w:r w:rsidRPr="00D37AB5">
        <w:rPr>
          <w:rFonts w:cs="ACaslonPro-Regular"/>
          <w:szCs w:val="17"/>
          <w:lang w:val="es-ES_tradnl"/>
        </w:rPr>
        <w:t>Durante el ejercicio 2017, se llevaron a cabo veintitrés talleres de capacitación en diferentes entidades federativas en los cuales se promocionaron los programas y productos de crédito de la FND, así como los esquemas de apoyos e incentivos de mezcla de recursos.</w:t>
      </w:r>
    </w:p>
    <w:p w:rsidR="00C861A4" w:rsidRPr="00D37AB5" w:rsidRDefault="00C861A4" w:rsidP="00C861A4">
      <w:pPr>
        <w:autoSpaceDE w:val="0"/>
        <w:autoSpaceDN w:val="0"/>
        <w:adjustRightInd w:val="0"/>
        <w:spacing w:before="120" w:after="120" w:line="220" w:lineRule="exact"/>
        <w:rPr>
          <w:rFonts w:cs="ACaslonPro-Regular"/>
          <w:szCs w:val="17"/>
          <w:lang w:val="es-ES_tradnl"/>
        </w:rPr>
      </w:pPr>
    </w:p>
    <w:p w:rsidR="00A30FF0" w:rsidRDefault="00A30FF0" w:rsidP="00C861A4">
      <w:pPr>
        <w:autoSpaceDE w:val="0"/>
        <w:autoSpaceDN w:val="0"/>
        <w:adjustRightInd w:val="0"/>
        <w:spacing w:before="120" w:after="120" w:line="220" w:lineRule="exact"/>
        <w:rPr>
          <w:rFonts w:cs="ACaslonPro-Regular"/>
          <w:szCs w:val="17"/>
          <w:lang w:val="es-ES_tradnl"/>
        </w:rPr>
      </w:pPr>
      <w:r w:rsidRPr="00D37AB5">
        <w:rPr>
          <w:rFonts w:cs="ACaslonPro-Regular"/>
          <w:szCs w:val="17"/>
          <w:lang w:val="es-ES_tradnl"/>
        </w:rPr>
        <w:t>Asimismo, se asesoró a diversos productores durante la 6</w:t>
      </w:r>
      <w:r>
        <w:rPr>
          <w:rFonts w:cs="ACaslonPro-Regular"/>
          <w:szCs w:val="17"/>
          <w:lang w:val="es-ES_tradnl"/>
        </w:rPr>
        <w:t>ª.</w:t>
      </w:r>
      <w:r w:rsidRPr="00D37AB5">
        <w:rPr>
          <w:rFonts w:cs="ACaslonPro-Regular"/>
          <w:szCs w:val="17"/>
          <w:lang w:val="es-ES_tradnl"/>
        </w:rPr>
        <w:t xml:space="preserve"> Expo Pueblos Indígenas 2017.</w:t>
      </w:r>
    </w:p>
    <w:p w:rsidR="00C861A4" w:rsidRPr="00D37AB5" w:rsidRDefault="00C861A4" w:rsidP="00C861A4">
      <w:pPr>
        <w:autoSpaceDE w:val="0"/>
        <w:autoSpaceDN w:val="0"/>
        <w:adjustRightInd w:val="0"/>
        <w:spacing w:before="120" w:after="120" w:line="220" w:lineRule="exact"/>
        <w:rPr>
          <w:rFonts w:cs="ACaslonPro-Regular"/>
          <w:szCs w:val="17"/>
          <w:lang w:val="es-ES_tradnl"/>
        </w:rPr>
      </w:pPr>
    </w:p>
    <w:p w:rsidR="00A30FF0" w:rsidRDefault="00A30FF0" w:rsidP="00C861A4">
      <w:pPr>
        <w:autoSpaceDE w:val="0"/>
        <w:autoSpaceDN w:val="0"/>
        <w:adjustRightInd w:val="0"/>
        <w:spacing w:before="120" w:after="120" w:line="220" w:lineRule="exact"/>
        <w:rPr>
          <w:rFonts w:cs="ACaslonPro-Regular"/>
          <w:szCs w:val="17"/>
          <w:lang w:val="es-ES_tradnl"/>
        </w:rPr>
      </w:pPr>
      <w:r w:rsidRPr="00D37AB5">
        <w:rPr>
          <w:rFonts w:cs="ACaslonPro-Regular"/>
          <w:szCs w:val="17"/>
          <w:lang w:val="es-ES_tradnl"/>
        </w:rPr>
        <w:t xml:space="preserve">Por lo que respecta a la certificación de Prestadores de Servicios Profesionales (PSP), al cierre del ejercicio </w:t>
      </w:r>
      <w:r>
        <w:rPr>
          <w:rFonts w:cs="ACaslonPro-Regular"/>
          <w:szCs w:val="17"/>
          <w:lang w:val="es-ES_tradnl"/>
        </w:rPr>
        <w:t xml:space="preserve">2017 </w:t>
      </w:r>
      <w:r w:rsidRPr="00D37AB5">
        <w:rPr>
          <w:rFonts w:cs="ACaslonPro-Regular"/>
          <w:szCs w:val="17"/>
          <w:lang w:val="es-ES_tradnl"/>
        </w:rPr>
        <w:t>un total de 596 profesionistas fueron habilitados para prestar sus servicios con la FND, conformándose la Red de PSP actualizada.</w:t>
      </w:r>
    </w:p>
    <w:p w:rsidR="0011525B" w:rsidRDefault="0011525B" w:rsidP="00C861A4">
      <w:pPr>
        <w:autoSpaceDE w:val="0"/>
        <w:autoSpaceDN w:val="0"/>
        <w:adjustRightInd w:val="0"/>
        <w:spacing w:before="120" w:after="120" w:line="220" w:lineRule="exact"/>
        <w:rPr>
          <w:rFonts w:cs="ACaslonPro-Regular"/>
          <w:szCs w:val="17"/>
          <w:lang w:val="es-ES_tradnl"/>
        </w:rPr>
      </w:pPr>
    </w:p>
    <w:p w:rsidR="0011525B" w:rsidRDefault="0011525B" w:rsidP="00DE369C">
      <w:pPr>
        <w:autoSpaceDE w:val="0"/>
        <w:autoSpaceDN w:val="0"/>
        <w:adjustRightInd w:val="0"/>
        <w:spacing w:before="120" w:after="120" w:line="220" w:lineRule="exact"/>
        <w:rPr>
          <w:rFonts w:cs="ACaslonPro-Regular"/>
          <w:szCs w:val="17"/>
          <w:lang w:val="es-ES_tradnl"/>
        </w:rPr>
      </w:pPr>
    </w:p>
    <w:p w:rsidR="0011525B" w:rsidRDefault="0011525B" w:rsidP="00A30FF0">
      <w:pPr>
        <w:autoSpaceDE w:val="0"/>
        <w:autoSpaceDN w:val="0"/>
        <w:adjustRightInd w:val="0"/>
        <w:rPr>
          <w:rFonts w:cs="ACaslonPro-Regular"/>
          <w:szCs w:val="17"/>
          <w:lang w:val="es-ES_tradnl"/>
        </w:rPr>
      </w:pPr>
    </w:p>
    <w:p w:rsidR="0011525B" w:rsidRDefault="0011525B" w:rsidP="00A30FF0">
      <w:pPr>
        <w:autoSpaceDE w:val="0"/>
        <w:autoSpaceDN w:val="0"/>
        <w:adjustRightInd w:val="0"/>
        <w:rPr>
          <w:rFonts w:cs="ACaslonPro-Regular"/>
          <w:szCs w:val="17"/>
          <w:lang w:val="es-ES_tradnl"/>
        </w:rPr>
      </w:pPr>
    </w:p>
    <w:p w:rsidR="0011525B" w:rsidRDefault="0011525B" w:rsidP="00A30FF0">
      <w:pPr>
        <w:autoSpaceDE w:val="0"/>
        <w:autoSpaceDN w:val="0"/>
        <w:adjustRightInd w:val="0"/>
        <w:rPr>
          <w:rFonts w:cs="ACaslonPro-Regular"/>
          <w:szCs w:val="17"/>
          <w:lang w:val="es-ES_tradnl"/>
        </w:rPr>
      </w:pPr>
    </w:p>
    <w:p w:rsidR="0011525B" w:rsidRDefault="0011525B" w:rsidP="00A30FF0">
      <w:pPr>
        <w:autoSpaceDE w:val="0"/>
        <w:autoSpaceDN w:val="0"/>
        <w:adjustRightInd w:val="0"/>
        <w:rPr>
          <w:rFonts w:cs="ACaslonPro-Regular"/>
          <w:szCs w:val="17"/>
          <w:lang w:val="es-ES_tradnl"/>
        </w:rPr>
      </w:pPr>
    </w:p>
    <w:p w:rsidR="0011525B" w:rsidRDefault="0011525B" w:rsidP="00A30FF0">
      <w:pPr>
        <w:autoSpaceDE w:val="0"/>
        <w:autoSpaceDN w:val="0"/>
        <w:adjustRightInd w:val="0"/>
        <w:rPr>
          <w:rFonts w:cs="ACaslonPro-Regular"/>
          <w:szCs w:val="17"/>
          <w:lang w:val="es-ES_tradnl"/>
        </w:rPr>
      </w:pPr>
    </w:p>
    <w:p w:rsidR="0011525B" w:rsidRDefault="0011525B" w:rsidP="00A30FF0">
      <w:pPr>
        <w:autoSpaceDE w:val="0"/>
        <w:autoSpaceDN w:val="0"/>
        <w:adjustRightInd w:val="0"/>
        <w:rPr>
          <w:rFonts w:cs="ACaslonPro-Regular"/>
          <w:szCs w:val="17"/>
          <w:lang w:val="es-ES_tradnl"/>
        </w:rPr>
      </w:pPr>
    </w:p>
    <w:p w:rsidR="0011525B" w:rsidRDefault="0011525B" w:rsidP="00A30FF0">
      <w:pPr>
        <w:autoSpaceDE w:val="0"/>
        <w:autoSpaceDN w:val="0"/>
        <w:adjustRightInd w:val="0"/>
        <w:rPr>
          <w:rFonts w:cs="ACaslonPro-Regular"/>
          <w:szCs w:val="17"/>
          <w:lang w:val="es-ES_tradnl"/>
        </w:rPr>
      </w:pPr>
    </w:p>
    <w:p w:rsidR="0011525B" w:rsidRDefault="0011525B" w:rsidP="00A30FF0">
      <w:pPr>
        <w:autoSpaceDE w:val="0"/>
        <w:autoSpaceDN w:val="0"/>
        <w:adjustRightInd w:val="0"/>
        <w:rPr>
          <w:rFonts w:cs="ACaslonPro-Regular"/>
          <w:szCs w:val="17"/>
          <w:lang w:val="es-ES_tradnl"/>
        </w:rPr>
      </w:pPr>
    </w:p>
    <w:p w:rsidR="0011525B" w:rsidRDefault="0011525B" w:rsidP="00A30FF0">
      <w:pPr>
        <w:autoSpaceDE w:val="0"/>
        <w:autoSpaceDN w:val="0"/>
        <w:adjustRightInd w:val="0"/>
        <w:rPr>
          <w:rFonts w:cs="ACaslonPro-Regular"/>
          <w:szCs w:val="17"/>
          <w:lang w:val="es-ES_tradnl"/>
        </w:rPr>
      </w:pPr>
    </w:p>
    <w:p w:rsidR="0011525B" w:rsidRDefault="0011525B" w:rsidP="00A30FF0">
      <w:pPr>
        <w:autoSpaceDE w:val="0"/>
        <w:autoSpaceDN w:val="0"/>
        <w:adjustRightInd w:val="0"/>
        <w:rPr>
          <w:rFonts w:cs="ACaslonPro-Regular"/>
          <w:szCs w:val="17"/>
          <w:lang w:val="es-ES_tradnl"/>
        </w:rPr>
      </w:pPr>
    </w:p>
    <w:p w:rsidR="0011525B" w:rsidRDefault="0011525B" w:rsidP="00A30FF0">
      <w:pPr>
        <w:autoSpaceDE w:val="0"/>
        <w:autoSpaceDN w:val="0"/>
        <w:adjustRightInd w:val="0"/>
        <w:rPr>
          <w:rFonts w:cs="ACaslonPro-Regular"/>
          <w:szCs w:val="17"/>
          <w:lang w:val="es-ES_tradnl"/>
        </w:rPr>
      </w:pPr>
    </w:p>
    <w:p w:rsidR="0011525B" w:rsidRPr="00D37AB5" w:rsidRDefault="0011525B" w:rsidP="00A30FF0">
      <w:pPr>
        <w:autoSpaceDE w:val="0"/>
        <w:autoSpaceDN w:val="0"/>
        <w:adjustRightInd w:val="0"/>
        <w:rPr>
          <w:rFonts w:cs="ACaslonPro-Regular"/>
          <w:szCs w:val="17"/>
          <w:lang w:val="es-ES_tradnl"/>
        </w:rPr>
      </w:pPr>
    </w:p>
    <w:p w:rsidR="00A30FF0" w:rsidRPr="00D37AB5" w:rsidRDefault="00A30FF0" w:rsidP="00A30FF0">
      <w:pPr>
        <w:autoSpaceDE w:val="0"/>
        <w:autoSpaceDN w:val="0"/>
        <w:adjustRightInd w:val="0"/>
        <w:rPr>
          <w:rFonts w:cs="ACaslonPro-Regular"/>
          <w:szCs w:val="17"/>
          <w:lang w:val="es-ES_tradnl"/>
        </w:rPr>
      </w:pPr>
    </w:p>
    <w:p w:rsidR="00A30FF0" w:rsidRPr="00D37AB5" w:rsidRDefault="00A30FF0" w:rsidP="00A30FF0">
      <w:pPr>
        <w:autoSpaceDE w:val="0"/>
        <w:autoSpaceDN w:val="0"/>
        <w:adjustRightInd w:val="0"/>
        <w:rPr>
          <w:rFonts w:cs="ACaslonPro-Regular"/>
          <w:szCs w:val="17"/>
          <w:lang w:val="es-ES_tradnl"/>
        </w:rPr>
      </w:pPr>
    </w:p>
    <w:p w:rsidR="00A30FF0" w:rsidRPr="00D37AB5" w:rsidRDefault="00A30FF0" w:rsidP="00A30FF0">
      <w:pPr>
        <w:autoSpaceDE w:val="0"/>
        <w:autoSpaceDN w:val="0"/>
        <w:adjustRightInd w:val="0"/>
        <w:rPr>
          <w:rFonts w:cs="ACaslonPro-Regular"/>
          <w:szCs w:val="17"/>
          <w:lang w:val="es-ES_tradnl"/>
        </w:rPr>
        <w:sectPr w:rsidR="00A30FF0" w:rsidRPr="00D37AB5" w:rsidSect="003C48DA">
          <w:footerReference w:type="even" r:id="rId18"/>
          <w:footerReference w:type="default" r:id="rId19"/>
          <w:type w:val="continuous"/>
          <w:pgSz w:w="12240" w:h="15840" w:code="1"/>
          <w:pgMar w:top="2268" w:right="1418" w:bottom="1134" w:left="1418" w:header="0" w:footer="567" w:gutter="0"/>
          <w:cols w:num="2" w:space="454"/>
          <w:docGrid w:linePitch="360"/>
        </w:sectPr>
      </w:pPr>
    </w:p>
    <w:p w:rsidR="00A30FF0" w:rsidRDefault="00A30FF0" w:rsidP="00A30FF0">
      <w:pPr>
        <w:pStyle w:val="TITULO5SECCIN"/>
        <w:jc w:val="center"/>
      </w:pPr>
    </w:p>
    <w:p w:rsidR="00A30FF0" w:rsidRDefault="003C4DD2" w:rsidP="003C4DD2">
      <w:pPr>
        <w:pStyle w:val="TITULO5SECCIN"/>
      </w:pPr>
      <w:r>
        <w:t>Avance</w:t>
      </w:r>
      <w:r w:rsidR="00A30FF0">
        <w:t xml:space="preserve"> de los indicadores</w:t>
      </w:r>
    </w:p>
    <w:p w:rsidR="003C4DD2" w:rsidRPr="003C4DD2" w:rsidRDefault="003C4DD2" w:rsidP="003C4DD2"/>
    <w:tbl>
      <w:tblPr>
        <w:tblW w:w="95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75"/>
        <w:gridCol w:w="1294"/>
        <w:gridCol w:w="991"/>
        <w:gridCol w:w="1158"/>
        <w:gridCol w:w="991"/>
        <w:gridCol w:w="1157"/>
        <w:gridCol w:w="1157"/>
        <w:gridCol w:w="1157"/>
      </w:tblGrid>
      <w:tr w:rsidR="00A30FF0" w:rsidRPr="00676990" w:rsidTr="00590A31">
        <w:trPr>
          <w:trHeight w:val="503"/>
          <w:jc w:val="center"/>
        </w:trPr>
        <w:tc>
          <w:tcPr>
            <w:tcW w:w="1675" w:type="dxa"/>
            <w:shd w:val="clear" w:color="auto" w:fill="D9D9D9"/>
            <w:vAlign w:val="center"/>
          </w:tcPr>
          <w:p w:rsidR="00A30FF0" w:rsidRPr="00676990" w:rsidRDefault="00A30FF0" w:rsidP="000F6ADC">
            <w:pPr>
              <w:autoSpaceDE w:val="0"/>
              <w:autoSpaceDN w:val="0"/>
              <w:adjustRightInd w:val="0"/>
              <w:spacing w:before="160" w:after="160" w:line="240" w:lineRule="auto"/>
              <w:jc w:val="center"/>
              <w:rPr>
                <w:rFonts w:cs="ACaslonPro-Bold"/>
                <w:b/>
                <w:bCs/>
                <w:sz w:val="16"/>
                <w:szCs w:val="16"/>
              </w:rPr>
            </w:pPr>
            <w:r w:rsidRPr="00676990">
              <w:rPr>
                <w:rFonts w:cs="ACaslonPro-Bold"/>
                <w:b/>
                <w:bCs/>
                <w:sz w:val="16"/>
                <w:szCs w:val="16"/>
              </w:rPr>
              <w:t>Nombre</w:t>
            </w:r>
          </w:p>
        </w:tc>
        <w:tc>
          <w:tcPr>
            <w:tcW w:w="1294" w:type="dxa"/>
            <w:shd w:val="clear" w:color="auto" w:fill="D9D9D9"/>
            <w:vAlign w:val="center"/>
          </w:tcPr>
          <w:p w:rsidR="00A30FF0" w:rsidRPr="00676990" w:rsidRDefault="00A30FF0" w:rsidP="000F6ADC">
            <w:pPr>
              <w:autoSpaceDE w:val="0"/>
              <w:autoSpaceDN w:val="0"/>
              <w:adjustRightInd w:val="0"/>
              <w:spacing w:before="160" w:after="160" w:line="240" w:lineRule="auto"/>
              <w:jc w:val="center"/>
              <w:rPr>
                <w:rFonts w:cs="ACaslonPro-Bold"/>
                <w:b/>
                <w:bCs/>
                <w:sz w:val="16"/>
                <w:szCs w:val="16"/>
              </w:rPr>
            </w:pPr>
            <w:r w:rsidRPr="00676990">
              <w:rPr>
                <w:rFonts w:cs="ACaslonPro-Bold"/>
                <w:b/>
                <w:bCs/>
                <w:sz w:val="16"/>
                <w:szCs w:val="16"/>
              </w:rPr>
              <w:t>Línea base</w:t>
            </w:r>
          </w:p>
        </w:tc>
        <w:tc>
          <w:tcPr>
            <w:tcW w:w="991" w:type="dxa"/>
            <w:shd w:val="clear" w:color="auto" w:fill="D9D9D9"/>
            <w:vAlign w:val="center"/>
          </w:tcPr>
          <w:p w:rsidR="00A30FF0" w:rsidRPr="00676990" w:rsidRDefault="00A30FF0" w:rsidP="000F6ADC">
            <w:pPr>
              <w:autoSpaceDE w:val="0"/>
              <w:autoSpaceDN w:val="0"/>
              <w:adjustRightInd w:val="0"/>
              <w:spacing w:before="160" w:after="160" w:line="240" w:lineRule="auto"/>
              <w:jc w:val="center"/>
              <w:rPr>
                <w:rFonts w:cs="ACaslonPro-Bold"/>
                <w:b/>
                <w:bCs/>
                <w:sz w:val="16"/>
                <w:szCs w:val="16"/>
              </w:rPr>
            </w:pPr>
            <w:r w:rsidRPr="00676990">
              <w:rPr>
                <w:rFonts w:cs="ACaslonPro-Bold"/>
                <w:b/>
                <w:bCs/>
                <w:sz w:val="16"/>
                <w:szCs w:val="16"/>
              </w:rPr>
              <w:t>2013</w:t>
            </w:r>
          </w:p>
        </w:tc>
        <w:tc>
          <w:tcPr>
            <w:tcW w:w="1158" w:type="dxa"/>
            <w:shd w:val="clear" w:color="auto" w:fill="D9D9D9"/>
            <w:vAlign w:val="center"/>
          </w:tcPr>
          <w:p w:rsidR="00A30FF0" w:rsidRPr="00676990" w:rsidRDefault="00A30FF0" w:rsidP="000F6ADC">
            <w:pPr>
              <w:autoSpaceDE w:val="0"/>
              <w:autoSpaceDN w:val="0"/>
              <w:adjustRightInd w:val="0"/>
              <w:spacing w:before="160" w:after="160" w:line="240" w:lineRule="auto"/>
              <w:jc w:val="center"/>
              <w:rPr>
                <w:rFonts w:cs="ACaslonPro-Bold"/>
                <w:b/>
                <w:bCs/>
                <w:sz w:val="16"/>
                <w:szCs w:val="16"/>
              </w:rPr>
            </w:pPr>
            <w:r w:rsidRPr="00676990">
              <w:rPr>
                <w:rFonts w:cs="ACaslonPro-Bold"/>
                <w:b/>
                <w:bCs/>
                <w:sz w:val="16"/>
                <w:szCs w:val="16"/>
              </w:rPr>
              <w:t>2014</w:t>
            </w:r>
          </w:p>
        </w:tc>
        <w:tc>
          <w:tcPr>
            <w:tcW w:w="991" w:type="dxa"/>
            <w:shd w:val="clear" w:color="auto" w:fill="D9D9D9"/>
            <w:vAlign w:val="center"/>
          </w:tcPr>
          <w:p w:rsidR="00A30FF0" w:rsidRPr="00676990" w:rsidRDefault="00A30FF0" w:rsidP="000F6ADC">
            <w:pPr>
              <w:autoSpaceDE w:val="0"/>
              <w:autoSpaceDN w:val="0"/>
              <w:adjustRightInd w:val="0"/>
              <w:spacing w:before="160" w:after="160" w:line="240" w:lineRule="auto"/>
              <w:jc w:val="center"/>
              <w:rPr>
                <w:rFonts w:cs="ACaslonPro-Bold"/>
                <w:b/>
                <w:bCs/>
                <w:sz w:val="16"/>
                <w:szCs w:val="16"/>
              </w:rPr>
            </w:pPr>
            <w:r w:rsidRPr="00676990">
              <w:rPr>
                <w:rFonts w:cs="ACaslonPro-Bold"/>
                <w:b/>
                <w:bCs/>
                <w:sz w:val="16"/>
                <w:szCs w:val="16"/>
              </w:rPr>
              <w:t>2015</w:t>
            </w:r>
          </w:p>
        </w:tc>
        <w:tc>
          <w:tcPr>
            <w:tcW w:w="1157" w:type="dxa"/>
            <w:shd w:val="clear" w:color="auto" w:fill="D9D9D9"/>
            <w:vAlign w:val="center"/>
          </w:tcPr>
          <w:p w:rsidR="00A30FF0" w:rsidRPr="00676990" w:rsidRDefault="00A30FF0" w:rsidP="000F6ADC">
            <w:pPr>
              <w:autoSpaceDE w:val="0"/>
              <w:autoSpaceDN w:val="0"/>
              <w:adjustRightInd w:val="0"/>
              <w:spacing w:before="160" w:after="160" w:line="240" w:lineRule="auto"/>
              <w:jc w:val="center"/>
              <w:rPr>
                <w:rFonts w:cs="ACaslonPro-Bold"/>
                <w:b/>
                <w:bCs/>
                <w:sz w:val="16"/>
                <w:szCs w:val="16"/>
              </w:rPr>
            </w:pPr>
            <w:r>
              <w:rPr>
                <w:rFonts w:cs="ACaslonPro-Bold"/>
                <w:b/>
                <w:bCs/>
                <w:sz w:val="16"/>
                <w:szCs w:val="16"/>
              </w:rPr>
              <w:t>2016</w:t>
            </w:r>
          </w:p>
        </w:tc>
        <w:tc>
          <w:tcPr>
            <w:tcW w:w="1157" w:type="dxa"/>
            <w:shd w:val="clear" w:color="auto" w:fill="D9D9D9"/>
            <w:vAlign w:val="center"/>
          </w:tcPr>
          <w:p w:rsidR="00A30FF0" w:rsidRPr="00676990" w:rsidRDefault="00A30FF0" w:rsidP="000F6ADC">
            <w:pPr>
              <w:autoSpaceDE w:val="0"/>
              <w:autoSpaceDN w:val="0"/>
              <w:adjustRightInd w:val="0"/>
              <w:spacing w:before="160" w:after="160" w:line="240" w:lineRule="auto"/>
              <w:jc w:val="center"/>
              <w:rPr>
                <w:rFonts w:cs="ACaslonPro-Bold"/>
                <w:b/>
                <w:bCs/>
                <w:sz w:val="16"/>
                <w:szCs w:val="16"/>
              </w:rPr>
            </w:pPr>
            <w:r>
              <w:rPr>
                <w:rFonts w:cs="ACaslonPro-Bold"/>
                <w:b/>
                <w:bCs/>
                <w:sz w:val="16"/>
                <w:szCs w:val="16"/>
              </w:rPr>
              <w:t>2017</w:t>
            </w:r>
          </w:p>
        </w:tc>
        <w:tc>
          <w:tcPr>
            <w:tcW w:w="1157" w:type="dxa"/>
            <w:shd w:val="clear" w:color="auto" w:fill="D9D9D9"/>
            <w:vAlign w:val="center"/>
          </w:tcPr>
          <w:p w:rsidR="00A30FF0" w:rsidRPr="00676990" w:rsidRDefault="00A30FF0" w:rsidP="000F6ADC">
            <w:pPr>
              <w:autoSpaceDE w:val="0"/>
              <w:autoSpaceDN w:val="0"/>
              <w:adjustRightInd w:val="0"/>
              <w:spacing w:before="160" w:after="160" w:line="240" w:lineRule="auto"/>
              <w:jc w:val="center"/>
              <w:rPr>
                <w:rFonts w:cs="ACaslonPro-Bold"/>
                <w:b/>
                <w:bCs/>
                <w:sz w:val="16"/>
                <w:szCs w:val="16"/>
              </w:rPr>
            </w:pPr>
            <w:r w:rsidRPr="00676990">
              <w:rPr>
                <w:rFonts w:cs="ACaslonPro-Bold"/>
                <w:b/>
                <w:bCs/>
                <w:sz w:val="16"/>
                <w:szCs w:val="16"/>
              </w:rPr>
              <w:t>Meta 2018</w:t>
            </w:r>
          </w:p>
        </w:tc>
      </w:tr>
      <w:tr w:rsidR="00A30FF0" w:rsidRPr="00676990" w:rsidTr="00590A31">
        <w:trPr>
          <w:trHeight w:val="778"/>
          <w:jc w:val="center"/>
        </w:trPr>
        <w:tc>
          <w:tcPr>
            <w:tcW w:w="1675" w:type="dxa"/>
            <w:shd w:val="clear" w:color="auto" w:fill="auto"/>
            <w:vAlign w:val="center"/>
          </w:tcPr>
          <w:p w:rsidR="00A30FF0" w:rsidRDefault="00A30FF0" w:rsidP="000F6ADC">
            <w:pPr>
              <w:jc w:val="center"/>
              <w:rPr>
                <w:rFonts w:ascii="Soberana Sans" w:hAnsi="Soberana Sans"/>
                <w:color w:val="000000"/>
                <w:sz w:val="15"/>
                <w:szCs w:val="15"/>
              </w:rPr>
            </w:pPr>
            <w:r w:rsidRPr="00676990">
              <w:rPr>
                <w:rFonts w:ascii="Soberana Sans" w:hAnsi="Soberana Sans"/>
                <w:color w:val="000000"/>
                <w:sz w:val="15"/>
                <w:szCs w:val="15"/>
              </w:rPr>
              <w:t>Porcentaje de atención en municipios a través de créditos de la Financiera Nacional.</w:t>
            </w:r>
          </w:p>
          <w:p w:rsidR="00A30FF0" w:rsidRPr="00676990" w:rsidRDefault="00A30FF0" w:rsidP="000F6ADC">
            <w:pPr>
              <w:jc w:val="center"/>
              <w:rPr>
                <w:rFonts w:ascii="Soberana Sans" w:hAnsi="Soberana Sans"/>
                <w:color w:val="000000"/>
                <w:sz w:val="15"/>
                <w:szCs w:val="15"/>
              </w:rPr>
            </w:pPr>
            <w:r w:rsidRPr="00676990">
              <w:rPr>
                <w:rFonts w:ascii="Soberana Sans" w:hAnsi="Soberana Sans"/>
                <w:color w:val="000000"/>
                <w:sz w:val="15"/>
                <w:szCs w:val="15"/>
              </w:rPr>
              <w:br/>
              <w:t>(Anual)</w:t>
            </w:r>
          </w:p>
        </w:tc>
        <w:tc>
          <w:tcPr>
            <w:tcW w:w="1294" w:type="dxa"/>
            <w:shd w:val="clear" w:color="auto" w:fill="auto"/>
            <w:vAlign w:val="center"/>
          </w:tcPr>
          <w:p w:rsidR="00A30FF0" w:rsidRPr="00676990" w:rsidRDefault="00A30FF0" w:rsidP="000F6ADC">
            <w:pPr>
              <w:jc w:val="center"/>
              <w:rPr>
                <w:rFonts w:ascii="Soberana Sans" w:hAnsi="Soberana Sans"/>
                <w:color w:val="000000"/>
                <w:sz w:val="15"/>
                <w:szCs w:val="15"/>
              </w:rPr>
            </w:pPr>
            <w:r w:rsidRPr="00676990">
              <w:rPr>
                <w:rFonts w:ascii="Soberana Sans" w:hAnsi="Soberana Sans"/>
                <w:color w:val="000000"/>
                <w:sz w:val="15"/>
                <w:szCs w:val="15"/>
              </w:rPr>
              <w:t>77.9%</w:t>
            </w:r>
          </w:p>
          <w:p w:rsidR="00A30FF0" w:rsidRPr="00676990" w:rsidRDefault="00A30FF0" w:rsidP="000F6ADC">
            <w:pPr>
              <w:jc w:val="center"/>
              <w:rPr>
                <w:rFonts w:ascii="Soberana Sans" w:hAnsi="Soberana Sans"/>
                <w:color w:val="000000"/>
                <w:sz w:val="15"/>
                <w:szCs w:val="15"/>
              </w:rPr>
            </w:pPr>
            <w:r w:rsidRPr="00676990">
              <w:rPr>
                <w:rFonts w:ascii="Soberana Sans" w:hAnsi="Soberana Sans"/>
                <w:color w:val="000000"/>
                <w:sz w:val="15"/>
                <w:szCs w:val="15"/>
              </w:rPr>
              <w:t>(2013)</w:t>
            </w:r>
          </w:p>
        </w:tc>
        <w:tc>
          <w:tcPr>
            <w:tcW w:w="991" w:type="dxa"/>
            <w:vAlign w:val="center"/>
          </w:tcPr>
          <w:p w:rsidR="00A30FF0" w:rsidRPr="00676990" w:rsidRDefault="00A30FF0" w:rsidP="000F6ADC">
            <w:pPr>
              <w:jc w:val="center"/>
              <w:rPr>
                <w:rFonts w:ascii="Soberana Sans" w:hAnsi="Soberana Sans"/>
                <w:color w:val="000000"/>
                <w:sz w:val="15"/>
                <w:szCs w:val="15"/>
              </w:rPr>
            </w:pPr>
            <w:r w:rsidRPr="00676990">
              <w:rPr>
                <w:rFonts w:ascii="Soberana Sans" w:hAnsi="Soberana Sans"/>
                <w:color w:val="000000"/>
                <w:sz w:val="15"/>
                <w:szCs w:val="15"/>
              </w:rPr>
              <w:t>N/A</w:t>
            </w:r>
          </w:p>
        </w:tc>
        <w:tc>
          <w:tcPr>
            <w:tcW w:w="1158" w:type="dxa"/>
            <w:shd w:val="clear" w:color="auto" w:fill="auto"/>
            <w:vAlign w:val="center"/>
          </w:tcPr>
          <w:p w:rsidR="00A30FF0" w:rsidRPr="00676990" w:rsidRDefault="00A30FF0" w:rsidP="000F6ADC">
            <w:pPr>
              <w:jc w:val="center"/>
              <w:rPr>
                <w:rFonts w:ascii="Soberana Sans" w:hAnsi="Soberana Sans"/>
                <w:color w:val="000000"/>
                <w:sz w:val="15"/>
                <w:szCs w:val="15"/>
              </w:rPr>
            </w:pPr>
            <w:r w:rsidRPr="00676990">
              <w:rPr>
                <w:rFonts w:ascii="Soberana Sans" w:hAnsi="Soberana Sans"/>
                <w:color w:val="000000"/>
                <w:sz w:val="15"/>
                <w:szCs w:val="15"/>
              </w:rPr>
              <w:t>79.2%</w:t>
            </w:r>
          </w:p>
        </w:tc>
        <w:tc>
          <w:tcPr>
            <w:tcW w:w="991" w:type="dxa"/>
            <w:shd w:val="clear" w:color="auto" w:fill="auto"/>
            <w:vAlign w:val="center"/>
          </w:tcPr>
          <w:p w:rsidR="00A30FF0" w:rsidRPr="00676990" w:rsidRDefault="00A30FF0" w:rsidP="000F6ADC">
            <w:pPr>
              <w:jc w:val="center"/>
              <w:rPr>
                <w:rFonts w:ascii="Soberana Sans" w:hAnsi="Soberana Sans"/>
                <w:color w:val="000000"/>
                <w:sz w:val="15"/>
                <w:szCs w:val="15"/>
              </w:rPr>
            </w:pPr>
            <w:r w:rsidRPr="00676990">
              <w:rPr>
                <w:rFonts w:ascii="Soberana Sans" w:hAnsi="Soberana Sans"/>
                <w:color w:val="000000"/>
                <w:sz w:val="15"/>
                <w:szCs w:val="15"/>
              </w:rPr>
              <w:t>81.7%</w:t>
            </w:r>
          </w:p>
        </w:tc>
        <w:tc>
          <w:tcPr>
            <w:tcW w:w="1157" w:type="dxa"/>
            <w:vAlign w:val="center"/>
          </w:tcPr>
          <w:p w:rsidR="00A30FF0" w:rsidRPr="00676990" w:rsidRDefault="00A30FF0" w:rsidP="000F6ADC">
            <w:pPr>
              <w:jc w:val="center"/>
              <w:rPr>
                <w:rFonts w:ascii="Soberana Sans" w:hAnsi="Soberana Sans"/>
                <w:color w:val="000000"/>
                <w:sz w:val="15"/>
                <w:szCs w:val="15"/>
              </w:rPr>
            </w:pPr>
            <w:r>
              <w:rPr>
                <w:rFonts w:ascii="Soberana Sans" w:hAnsi="Soberana Sans"/>
                <w:color w:val="000000"/>
                <w:sz w:val="15"/>
                <w:szCs w:val="15"/>
              </w:rPr>
              <w:t>93.7%</w:t>
            </w:r>
          </w:p>
        </w:tc>
        <w:tc>
          <w:tcPr>
            <w:tcW w:w="1157" w:type="dxa"/>
            <w:vAlign w:val="center"/>
          </w:tcPr>
          <w:p w:rsidR="00A30FF0" w:rsidRPr="00676990" w:rsidRDefault="00A30FF0" w:rsidP="000F6ADC">
            <w:pPr>
              <w:jc w:val="center"/>
              <w:rPr>
                <w:rFonts w:ascii="Soberana Sans" w:hAnsi="Soberana Sans"/>
                <w:color w:val="000000"/>
                <w:sz w:val="15"/>
                <w:szCs w:val="15"/>
              </w:rPr>
            </w:pPr>
            <w:r>
              <w:rPr>
                <w:rFonts w:ascii="Soberana Sans" w:hAnsi="Soberana Sans"/>
                <w:color w:val="000000"/>
                <w:sz w:val="15"/>
                <w:szCs w:val="15"/>
              </w:rPr>
              <w:t>94.4%</w:t>
            </w:r>
          </w:p>
        </w:tc>
        <w:tc>
          <w:tcPr>
            <w:tcW w:w="1157" w:type="dxa"/>
            <w:shd w:val="clear" w:color="auto" w:fill="auto"/>
            <w:vAlign w:val="center"/>
          </w:tcPr>
          <w:p w:rsidR="00A30FF0" w:rsidRPr="00676990" w:rsidRDefault="00A30FF0" w:rsidP="000F6ADC">
            <w:pPr>
              <w:jc w:val="center"/>
              <w:rPr>
                <w:rFonts w:ascii="Soberana Sans" w:hAnsi="Soberana Sans"/>
                <w:color w:val="000000"/>
                <w:sz w:val="15"/>
                <w:szCs w:val="15"/>
              </w:rPr>
            </w:pPr>
            <w:r w:rsidRPr="00676990">
              <w:rPr>
                <w:rFonts w:ascii="Soberana Sans" w:hAnsi="Soberana Sans"/>
                <w:color w:val="000000"/>
                <w:sz w:val="15"/>
                <w:szCs w:val="15"/>
              </w:rPr>
              <w:t>88%</w:t>
            </w:r>
          </w:p>
        </w:tc>
      </w:tr>
    </w:tbl>
    <w:p w:rsidR="00A30FF0" w:rsidRPr="00B27353" w:rsidRDefault="00A30FF0" w:rsidP="00A30FF0">
      <w:pPr>
        <w:spacing w:after="0" w:line="240" w:lineRule="auto"/>
        <w:rPr>
          <w:lang w:val="es-ES_tradnl"/>
        </w:rPr>
      </w:pPr>
      <w:r w:rsidRPr="00B27353">
        <w:rPr>
          <w:lang w:val="es-ES_tradnl"/>
        </w:rPr>
        <w:t>Nota:</w:t>
      </w:r>
    </w:p>
    <w:p w:rsidR="00A30FF0" w:rsidRPr="00B27353" w:rsidRDefault="00A30FF0" w:rsidP="00A30FF0">
      <w:pPr>
        <w:spacing w:after="0" w:line="240" w:lineRule="auto"/>
        <w:rPr>
          <w:lang w:val="es-ES_tradnl"/>
        </w:rPr>
      </w:pPr>
      <w:r w:rsidRPr="00B27353">
        <w:rPr>
          <w:lang w:val="es-ES_tradnl"/>
        </w:rPr>
        <w:t>­ NA: No aplica, en tanto que, derivado del año de la línea base y la frecuencia de medición del indicador, no corresponde reportar valor observado del indicador para este año.</w:t>
      </w:r>
    </w:p>
    <w:p w:rsidR="00A30FF0" w:rsidRDefault="00A30FF0" w:rsidP="00A30FF0">
      <w:pPr>
        <w:autoSpaceDE w:val="0"/>
        <w:autoSpaceDN w:val="0"/>
        <w:adjustRightInd w:val="0"/>
        <w:spacing w:before="160" w:after="160" w:line="240" w:lineRule="auto"/>
        <w:rPr>
          <w:rFonts w:ascii="Soberana Sans" w:hAnsi="Soberana Sans" w:cs="ACaslonPro-Regular"/>
          <w:b/>
          <w:sz w:val="24"/>
          <w:szCs w:val="24"/>
        </w:rPr>
      </w:pPr>
    </w:p>
    <w:p w:rsidR="00A30FF0" w:rsidRDefault="00A30FF0" w:rsidP="00A30FF0">
      <w:pPr>
        <w:autoSpaceDE w:val="0"/>
        <w:autoSpaceDN w:val="0"/>
        <w:adjustRightInd w:val="0"/>
        <w:spacing w:before="160" w:after="160" w:line="240" w:lineRule="auto"/>
        <w:rPr>
          <w:rFonts w:ascii="Soberana Sans" w:hAnsi="Soberana Sans" w:cs="ACaslonPro-Regular"/>
          <w:b/>
          <w:sz w:val="24"/>
          <w:szCs w:val="24"/>
        </w:rPr>
      </w:pPr>
    </w:p>
    <w:p w:rsidR="00A30FF0" w:rsidRDefault="00A30FF0" w:rsidP="00A30FF0">
      <w:pPr>
        <w:autoSpaceDE w:val="0"/>
        <w:autoSpaceDN w:val="0"/>
        <w:adjustRightInd w:val="0"/>
        <w:spacing w:before="160" w:after="160" w:line="240" w:lineRule="auto"/>
        <w:rPr>
          <w:rFonts w:ascii="Soberana Sans" w:hAnsi="Soberana Sans" w:cs="ACaslonPro-Regular"/>
          <w:b/>
          <w:sz w:val="24"/>
          <w:szCs w:val="24"/>
        </w:rPr>
      </w:pPr>
    </w:p>
    <w:p w:rsidR="00A30FF0" w:rsidRDefault="00A30FF0" w:rsidP="00A30FF0">
      <w:pPr>
        <w:autoSpaceDE w:val="0"/>
        <w:autoSpaceDN w:val="0"/>
        <w:adjustRightInd w:val="0"/>
        <w:spacing w:before="160" w:after="160" w:line="240" w:lineRule="auto"/>
        <w:rPr>
          <w:rFonts w:ascii="Soberana Sans" w:hAnsi="Soberana Sans" w:cs="ACaslonPro-Regular"/>
          <w:b/>
          <w:sz w:val="24"/>
          <w:szCs w:val="24"/>
        </w:rPr>
      </w:pPr>
    </w:p>
    <w:p w:rsidR="00A30FF0" w:rsidRDefault="00A30FF0" w:rsidP="00A30FF0">
      <w:pPr>
        <w:autoSpaceDE w:val="0"/>
        <w:autoSpaceDN w:val="0"/>
        <w:adjustRightInd w:val="0"/>
        <w:spacing w:before="160" w:after="160" w:line="240" w:lineRule="auto"/>
        <w:rPr>
          <w:rFonts w:ascii="Soberana Sans" w:hAnsi="Soberana Sans" w:cs="ACaslonPro-Regular"/>
          <w:b/>
          <w:sz w:val="24"/>
          <w:szCs w:val="24"/>
        </w:rPr>
      </w:pPr>
    </w:p>
    <w:p w:rsidR="00A30FF0" w:rsidRDefault="00A30FF0" w:rsidP="00A30FF0">
      <w:pPr>
        <w:autoSpaceDE w:val="0"/>
        <w:autoSpaceDN w:val="0"/>
        <w:adjustRightInd w:val="0"/>
        <w:spacing w:before="160" w:after="160" w:line="240" w:lineRule="auto"/>
        <w:rPr>
          <w:rFonts w:ascii="Soberana Sans" w:hAnsi="Soberana Sans" w:cs="ACaslonPro-Regular"/>
          <w:b/>
          <w:sz w:val="24"/>
          <w:szCs w:val="24"/>
        </w:rPr>
      </w:pPr>
    </w:p>
    <w:p w:rsidR="00A30FF0" w:rsidRDefault="00A30FF0" w:rsidP="00A30FF0">
      <w:pPr>
        <w:autoSpaceDE w:val="0"/>
        <w:autoSpaceDN w:val="0"/>
        <w:adjustRightInd w:val="0"/>
        <w:spacing w:before="160" w:after="160" w:line="240" w:lineRule="auto"/>
        <w:rPr>
          <w:rFonts w:ascii="Soberana Sans" w:hAnsi="Soberana Sans" w:cs="ACaslonPro-Regular"/>
          <w:b/>
          <w:sz w:val="24"/>
          <w:szCs w:val="24"/>
        </w:rPr>
      </w:pPr>
    </w:p>
    <w:p w:rsidR="00A30FF0" w:rsidRDefault="00A30FF0" w:rsidP="00A30FF0">
      <w:pPr>
        <w:autoSpaceDE w:val="0"/>
        <w:autoSpaceDN w:val="0"/>
        <w:adjustRightInd w:val="0"/>
        <w:spacing w:before="160" w:after="160" w:line="240" w:lineRule="auto"/>
        <w:rPr>
          <w:rFonts w:ascii="Soberana Sans" w:hAnsi="Soberana Sans" w:cs="ACaslonPro-Regular"/>
          <w:b/>
          <w:sz w:val="24"/>
          <w:szCs w:val="24"/>
        </w:rPr>
      </w:pPr>
    </w:p>
    <w:p w:rsidR="00A30FF0" w:rsidRDefault="00A30FF0" w:rsidP="00A30FF0">
      <w:pPr>
        <w:autoSpaceDE w:val="0"/>
        <w:autoSpaceDN w:val="0"/>
        <w:adjustRightInd w:val="0"/>
        <w:spacing w:before="160" w:after="160" w:line="240" w:lineRule="auto"/>
        <w:rPr>
          <w:rFonts w:ascii="Soberana Sans" w:hAnsi="Soberana Sans" w:cs="ACaslonPro-Regular"/>
          <w:b/>
          <w:sz w:val="24"/>
          <w:szCs w:val="24"/>
        </w:rPr>
      </w:pPr>
    </w:p>
    <w:p w:rsidR="00A30FF0" w:rsidRDefault="00A30FF0" w:rsidP="00A30FF0">
      <w:pPr>
        <w:autoSpaceDE w:val="0"/>
        <w:autoSpaceDN w:val="0"/>
        <w:adjustRightInd w:val="0"/>
        <w:spacing w:before="160" w:after="160" w:line="240" w:lineRule="auto"/>
        <w:rPr>
          <w:rFonts w:ascii="Soberana Sans" w:hAnsi="Soberana Sans" w:cs="ACaslonPro-Regular"/>
          <w:b/>
          <w:sz w:val="24"/>
          <w:szCs w:val="24"/>
        </w:rPr>
      </w:pPr>
    </w:p>
    <w:p w:rsidR="00A30FF0" w:rsidRDefault="00A30FF0" w:rsidP="00A30FF0">
      <w:pPr>
        <w:autoSpaceDE w:val="0"/>
        <w:autoSpaceDN w:val="0"/>
        <w:adjustRightInd w:val="0"/>
        <w:spacing w:before="160" w:after="160" w:line="240" w:lineRule="auto"/>
        <w:rPr>
          <w:rFonts w:ascii="Soberana Sans" w:hAnsi="Soberana Sans" w:cs="ACaslonPro-Regular"/>
          <w:b/>
          <w:sz w:val="24"/>
          <w:szCs w:val="24"/>
        </w:rPr>
      </w:pPr>
    </w:p>
    <w:p w:rsidR="00A30FF0" w:rsidRDefault="00A30FF0" w:rsidP="00A30FF0">
      <w:pPr>
        <w:autoSpaceDE w:val="0"/>
        <w:autoSpaceDN w:val="0"/>
        <w:adjustRightInd w:val="0"/>
        <w:spacing w:before="160" w:after="160" w:line="240" w:lineRule="auto"/>
        <w:rPr>
          <w:rFonts w:ascii="Soberana Sans" w:hAnsi="Soberana Sans" w:cs="ACaslonPro-Regular"/>
          <w:b/>
          <w:sz w:val="24"/>
          <w:szCs w:val="24"/>
        </w:rPr>
      </w:pPr>
    </w:p>
    <w:p w:rsidR="00A30FF0" w:rsidRDefault="00A30FF0" w:rsidP="00A30FF0">
      <w:pPr>
        <w:autoSpaceDE w:val="0"/>
        <w:autoSpaceDN w:val="0"/>
        <w:adjustRightInd w:val="0"/>
        <w:spacing w:before="160" w:after="160" w:line="240" w:lineRule="auto"/>
        <w:rPr>
          <w:rFonts w:ascii="Soberana Sans" w:hAnsi="Soberana Sans" w:cs="ACaslonPro-Regular"/>
          <w:b/>
          <w:sz w:val="24"/>
          <w:szCs w:val="24"/>
        </w:rPr>
      </w:pPr>
    </w:p>
    <w:p w:rsidR="00A30FF0" w:rsidRDefault="00A30FF0" w:rsidP="00A30FF0">
      <w:pPr>
        <w:autoSpaceDE w:val="0"/>
        <w:autoSpaceDN w:val="0"/>
        <w:adjustRightInd w:val="0"/>
        <w:spacing w:before="160" w:after="160" w:line="240" w:lineRule="auto"/>
        <w:rPr>
          <w:rFonts w:ascii="Soberana Sans" w:hAnsi="Soberana Sans" w:cs="ACaslonPro-Regular"/>
          <w:b/>
          <w:sz w:val="24"/>
          <w:szCs w:val="24"/>
        </w:rPr>
      </w:pPr>
    </w:p>
    <w:p w:rsidR="00A30FF0" w:rsidRDefault="00A30FF0" w:rsidP="00A30FF0">
      <w:pPr>
        <w:autoSpaceDE w:val="0"/>
        <w:autoSpaceDN w:val="0"/>
        <w:adjustRightInd w:val="0"/>
        <w:spacing w:before="160" w:after="160" w:line="240" w:lineRule="auto"/>
        <w:rPr>
          <w:rFonts w:ascii="Soberana Sans" w:hAnsi="Soberana Sans" w:cs="ACaslonPro-Regular"/>
          <w:b/>
          <w:sz w:val="24"/>
          <w:szCs w:val="24"/>
        </w:rPr>
      </w:pPr>
    </w:p>
    <w:p w:rsidR="00A30FF0" w:rsidRDefault="00A30FF0" w:rsidP="00A30FF0">
      <w:pPr>
        <w:autoSpaceDE w:val="0"/>
        <w:autoSpaceDN w:val="0"/>
        <w:adjustRightInd w:val="0"/>
        <w:spacing w:before="160" w:after="160" w:line="240" w:lineRule="auto"/>
        <w:rPr>
          <w:rFonts w:ascii="Soberana Sans" w:hAnsi="Soberana Sans" w:cs="ACaslonPro-Regular"/>
          <w:b/>
          <w:sz w:val="24"/>
          <w:szCs w:val="24"/>
        </w:rPr>
        <w:sectPr w:rsidR="00A30FF0" w:rsidSect="000F6ADC">
          <w:type w:val="continuous"/>
          <w:pgSz w:w="12240" w:h="15840" w:code="1"/>
          <w:pgMar w:top="2268" w:right="1418" w:bottom="1134" w:left="1418" w:header="0" w:footer="567" w:gutter="0"/>
          <w:cols w:space="454"/>
          <w:docGrid w:linePitch="360"/>
        </w:sectPr>
      </w:pPr>
    </w:p>
    <w:p w:rsidR="00C861A4" w:rsidRDefault="00C861A4">
      <w:pPr>
        <w:spacing w:after="0" w:line="240" w:lineRule="auto"/>
        <w:jc w:val="left"/>
        <w:rPr>
          <w:rFonts w:ascii="Soberana Sans" w:hAnsi="Soberana Sans" w:cs="ACaslonPro-Regular"/>
          <w:b/>
          <w:sz w:val="24"/>
          <w:szCs w:val="24"/>
        </w:rPr>
      </w:pPr>
      <w:r>
        <w:rPr>
          <w:rFonts w:ascii="Soberana Sans" w:hAnsi="Soberana Sans" w:cs="ACaslonPro-Regular"/>
          <w:b/>
          <w:sz w:val="24"/>
          <w:szCs w:val="24"/>
        </w:rPr>
        <w:br w:type="page"/>
      </w:r>
    </w:p>
    <w:p w:rsidR="00A30FF0" w:rsidRDefault="00A30FF0" w:rsidP="00A30FF0">
      <w:pPr>
        <w:autoSpaceDE w:val="0"/>
        <w:autoSpaceDN w:val="0"/>
        <w:adjustRightInd w:val="0"/>
        <w:spacing w:before="160" w:after="160" w:line="240" w:lineRule="auto"/>
        <w:rPr>
          <w:rFonts w:ascii="Soberana Sans" w:hAnsi="Soberana Sans" w:cs="ACaslonPro-Regular"/>
          <w:b/>
          <w:sz w:val="24"/>
          <w:szCs w:val="24"/>
        </w:rPr>
      </w:pPr>
      <w:r w:rsidRPr="00D37AB5">
        <w:rPr>
          <w:rFonts w:ascii="Soberana Sans" w:hAnsi="Soberana Sans" w:cs="ACaslonPro-Regular"/>
          <w:b/>
          <w:sz w:val="24"/>
          <w:szCs w:val="24"/>
        </w:rPr>
        <w:lastRenderedPageBreak/>
        <w:t>Objetivo 6. Mantener la sustentabilidad de la Institución</w:t>
      </w:r>
    </w:p>
    <w:p w:rsidR="003C4DD2" w:rsidRPr="00D37AB5" w:rsidRDefault="003C4DD2" w:rsidP="00C861A4">
      <w:pPr>
        <w:autoSpaceDE w:val="0"/>
        <w:autoSpaceDN w:val="0"/>
        <w:adjustRightInd w:val="0"/>
        <w:spacing w:before="120" w:after="120" w:line="220" w:lineRule="exact"/>
        <w:rPr>
          <w:rFonts w:ascii="Soberana Sans" w:hAnsi="Soberana Sans" w:cs="ACaslonPro-Regular"/>
          <w:b/>
          <w:sz w:val="24"/>
          <w:szCs w:val="24"/>
        </w:rPr>
      </w:pPr>
    </w:p>
    <w:p w:rsidR="00A30FF0" w:rsidRDefault="00A30FF0" w:rsidP="00C861A4">
      <w:pPr>
        <w:spacing w:before="120" w:after="120" w:line="220" w:lineRule="exact"/>
        <w:rPr>
          <w:szCs w:val="17"/>
          <w:lang w:eastAsia="es-MX"/>
        </w:rPr>
      </w:pPr>
      <w:r w:rsidRPr="00D37AB5">
        <w:rPr>
          <w:szCs w:val="17"/>
          <w:lang w:eastAsia="es-MX"/>
        </w:rPr>
        <w:t xml:space="preserve">La FND ha mantenido una adecuada disciplina en el manejo de sus finanzas lo que le ha permitido cumplir con las metas de colocación de crédito, su recuperación y al mismo tiempo mantener la preservación de su patrimonio en términos reales.  </w:t>
      </w:r>
    </w:p>
    <w:p w:rsidR="00C861A4" w:rsidRPr="00D37AB5" w:rsidRDefault="00C861A4" w:rsidP="00C861A4">
      <w:pPr>
        <w:spacing w:before="120" w:after="120" w:line="220" w:lineRule="exact"/>
        <w:rPr>
          <w:szCs w:val="17"/>
          <w:lang w:eastAsia="es-MX"/>
        </w:rPr>
      </w:pPr>
    </w:p>
    <w:p w:rsidR="00A30FF0" w:rsidRPr="00D37AB5" w:rsidRDefault="00A30FF0" w:rsidP="00C861A4">
      <w:pPr>
        <w:spacing w:before="120" w:after="120" w:line="220" w:lineRule="exact"/>
        <w:rPr>
          <w:szCs w:val="17"/>
          <w:lang w:eastAsia="es-MX"/>
        </w:rPr>
      </w:pPr>
      <w:r w:rsidRPr="00D37AB5">
        <w:rPr>
          <w:szCs w:val="17"/>
          <w:lang w:eastAsia="es-MX"/>
        </w:rPr>
        <w:t>El seguimiento permanente a los indicadores de rentabilidad permitió realizar acciones concretas para alcanzar la rentabilidad tales como</w:t>
      </w:r>
      <w:r w:rsidR="001831F7">
        <w:rPr>
          <w:szCs w:val="17"/>
          <w:lang w:eastAsia="es-MX"/>
        </w:rPr>
        <w:t>,</w:t>
      </w:r>
      <w:r w:rsidRPr="00D37AB5">
        <w:rPr>
          <w:szCs w:val="17"/>
          <w:lang w:eastAsia="es-MX"/>
        </w:rPr>
        <w:t xml:space="preserve"> el seguimiento a la tasa de colocación, la cancelación de cartera</w:t>
      </w:r>
      <w:r w:rsidR="001831F7">
        <w:rPr>
          <w:szCs w:val="17"/>
          <w:lang w:eastAsia="es-MX"/>
        </w:rPr>
        <w:t>, el Índice de Morosidad</w:t>
      </w:r>
      <w:r w:rsidRPr="00D37AB5">
        <w:rPr>
          <w:szCs w:val="17"/>
          <w:lang w:eastAsia="es-MX"/>
        </w:rPr>
        <w:t xml:space="preserve"> </w:t>
      </w:r>
      <w:r w:rsidR="001831F7">
        <w:rPr>
          <w:szCs w:val="17"/>
          <w:lang w:eastAsia="es-MX"/>
        </w:rPr>
        <w:t>(</w:t>
      </w:r>
      <w:r w:rsidRPr="00D37AB5">
        <w:rPr>
          <w:szCs w:val="17"/>
          <w:lang w:eastAsia="es-MX"/>
        </w:rPr>
        <w:t>IMOR</w:t>
      </w:r>
      <w:r w:rsidR="001831F7">
        <w:rPr>
          <w:szCs w:val="17"/>
          <w:lang w:eastAsia="es-MX"/>
        </w:rPr>
        <w:t>) y el Índice de Morosidad Ajustado (</w:t>
      </w:r>
      <w:r w:rsidRPr="00D37AB5">
        <w:rPr>
          <w:szCs w:val="17"/>
          <w:lang w:eastAsia="es-MX"/>
        </w:rPr>
        <w:t>IMORA</w:t>
      </w:r>
      <w:r w:rsidR="001831F7">
        <w:rPr>
          <w:szCs w:val="17"/>
          <w:lang w:eastAsia="es-MX"/>
        </w:rPr>
        <w:t>)</w:t>
      </w:r>
      <w:r w:rsidRPr="00D37AB5">
        <w:rPr>
          <w:szCs w:val="17"/>
          <w:lang w:eastAsia="es-MX"/>
        </w:rPr>
        <w:t>, así como la recuperación de bienes adjudicados.</w:t>
      </w:r>
    </w:p>
    <w:p w:rsidR="00A30FF0" w:rsidRPr="00D37AB5" w:rsidRDefault="00A30FF0" w:rsidP="00C861A4">
      <w:pPr>
        <w:spacing w:before="120" w:after="120" w:line="220" w:lineRule="exact"/>
        <w:rPr>
          <w:rFonts w:ascii="Soberana Sans" w:hAnsi="Soberana Sans"/>
          <w:sz w:val="20"/>
          <w:lang w:eastAsia="es-MX"/>
        </w:rPr>
      </w:pPr>
    </w:p>
    <w:p w:rsidR="00A30FF0" w:rsidRDefault="00A30FF0" w:rsidP="00C861A4">
      <w:pPr>
        <w:autoSpaceDE w:val="0"/>
        <w:autoSpaceDN w:val="0"/>
        <w:adjustRightInd w:val="0"/>
        <w:spacing w:before="120" w:after="120" w:line="220" w:lineRule="exact"/>
        <w:rPr>
          <w:rFonts w:ascii="Soberana Sans" w:hAnsi="Soberana Sans" w:cs="ACaslonPro-Bold"/>
          <w:b/>
          <w:bCs/>
          <w:sz w:val="20"/>
          <w:szCs w:val="20"/>
        </w:rPr>
      </w:pPr>
      <w:r w:rsidRPr="00D37AB5">
        <w:rPr>
          <w:rFonts w:ascii="Soberana Sans" w:hAnsi="Soberana Sans" w:cs="ACaslonPro-Bold"/>
          <w:b/>
          <w:bCs/>
          <w:sz w:val="20"/>
          <w:szCs w:val="20"/>
        </w:rPr>
        <w:t>Resultados</w:t>
      </w:r>
    </w:p>
    <w:p w:rsidR="003C4DD2" w:rsidRPr="00D37AB5" w:rsidRDefault="003C4DD2" w:rsidP="00C861A4">
      <w:pPr>
        <w:autoSpaceDE w:val="0"/>
        <w:autoSpaceDN w:val="0"/>
        <w:adjustRightInd w:val="0"/>
        <w:spacing w:before="120" w:after="120" w:line="220" w:lineRule="exact"/>
        <w:rPr>
          <w:rFonts w:ascii="Soberana Sans" w:hAnsi="Soberana Sans" w:cs="ACaslonPro-Bold"/>
          <w:b/>
          <w:bCs/>
          <w:sz w:val="20"/>
          <w:szCs w:val="20"/>
        </w:rPr>
      </w:pPr>
    </w:p>
    <w:p w:rsidR="00A30FF0" w:rsidRDefault="00A30FF0" w:rsidP="00C861A4">
      <w:pPr>
        <w:spacing w:before="120" w:after="120" w:line="220" w:lineRule="exact"/>
        <w:rPr>
          <w:szCs w:val="17"/>
          <w:lang w:eastAsia="es-MX"/>
        </w:rPr>
      </w:pPr>
      <w:r w:rsidRPr="00D37AB5">
        <w:rPr>
          <w:szCs w:val="17"/>
          <w:lang w:eastAsia="es-MX"/>
        </w:rPr>
        <w:t xml:space="preserve">Por cuarto año consecutivo el patrimonio de la Institución se incrementó en términos reales. Durante el ejercicio fiscal 2017 la </w:t>
      </w:r>
      <w:r w:rsidR="006356A0">
        <w:rPr>
          <w:szCs w:val="17"/>
        </w:rPr>
        <w:t>FND</w:t>
      </w:r>
      <w:r w:rsidR="006356A0" w:rsidRPr="00D37AB5">
        <w:rPr>
          <w:szCs w:val="17"/>
          <w:lang w:eastAsia="es-MX"/>
        </w:rPr>
        <w:t xml:space="preserve"> </w:t>
      </w:r>
      <w:r w:rsidRPr="00D37AB5">
        <w:rPr>
          <w:szCs w:val="17"/>
          <w:lang w:eastAsia="es-MX"/>
        </w:rPr>
        <w:t>no rebasó los límites de riesgos y niveles de tolerancia autorizados.</w:t>
      </w:r>
    </w:p>
    <w:p w:rsidR="00C861A4" w:rsidRPr="00D37AB5" w:rsidRDefault="00C861A4" w:rsidP="00C861A4">
      <w:pPr>
        <w:spacing w:before="120" w:after="120" w:line="220" w:lineRule="exact"/>
        <w:rPr>
          <w:szCs w:val="17"/>
          <w:lang w:eastAsia="es-MX"/>
        </w:rPr>
      </w:pPr>
    </w:p>
    <w:p w:rsidR="00A30FF0" w:rsidRPr="00D37AB5" w:rsidRDefault="00A30FF0" w:rsidP="00C861A4">
      <w:pPr>
        <w:spacing w:before="120" w:after="120" w:line="220" w:lineRule="exact"/>
        <w:rPr>
          <w:szCs w:val="17"/>
          <w:lang w:eastAsia="es-MX"/>
        </w:rPr>
      </w:pPr>
      <w:r w:rsidRPr="00D37AB5">
        <w:rPr>
          <w:szCs w:val="17"/>
          <w:lang w:eastAsia="es-MX"/>
        </w:rPr>
        <w:t xml:space="preserve">Es destacable enfatizar que el rendimiento de capital registrado al cierre del ejercicio </w:t>
      </w:r>
      <w:r w:rsidR="001831F7">
        <w:rPr>
          <w:szCs w:val="17"/>
          <w:lang w:eastAsia="es-MX"/>
        </w:rPr>
        <w:t>2017</w:t>
      </w:r>
      <w:r w:rsidRPr="00D37AB5">
        <w:rPr>
          <w:szCs w:val="17"/>
          <w:lang w:eastAsia="es-MX"/>
        </w:rPr>
        <w:t xml:space="preserve"> fue superior al autorizado por el H. Consejo Directivo de la Institución.</w:t>
      </w:r>
    </w:p>
    <w:p w:rsidR="00A30FF0" w:rsidRPr="00D37AB5" w:rsidRDefault="00A30FF0" w:rsidP="00C861A4">
      <w:pPr>
        <w:spacing w:before="120" w:after="120" w:line="220" w:lineRule="exact"/>
        <w:rPr>
          <w:rFonts w:ascii="Soberana Sans" w:hAnsi="Soberana Sans"/>
        </w:rPr>
      </w:pPr>
    </w:p>
    <w:p w:rsidR="00A30FF0" w:rsidRDefault="00A30FF0" w:rsidP="00C861A4">
      <w:pPr>
        <w:autoSpaceDE w:val="0"/>
        <w:autoSpaceDN w:val="0"/>
        <w:adjustRightInd w:val="0"/>
        <w:spacing w:before="120" w:after="120" w:line="220" w:lineRule="exact"/>
        <w:rPr>
          <w:rFonts w:ascii="Soberana Sans" w:hAnsi="Soberana Sans" w:cs="ACaslonPro-Bold"/>
          <w:b/>
          <w:bCs/>
          <w:sz w:val="20"/>
          <w:szCs w:val="20"/>
        </w:rPr>
      </w:pPr>
      <w:bookmarkStart w:id="18" w:name="_Toc411595749"/>
      <w:r w:rsidRPr="00D37AB5">
        <w:rPr>
          <w:rFonts w:ascii="Soberana Sans" w:hAnsi="Soberana Sans" w:cs="ACaslonPro-Bold"/>
          <w:b/>
          <w:bCs/>
          <w:sz w:val="20"/>
          <w:szCs w:val="20"/>
        </w:rPr>
        <w:t>Actividades Relevantes</w:t>
      </w:r>
      <w:bookmarkEnd w:id="18"/>
    </w:p>
    <w:p w:rsidR="003C4DD2" w:rsidRPr="00D37AB5" w:rsidRDefault="003C4DD2" w:rsidP="00C861A4">
      <w:pPr>
        <w:autoSpaceDE w:val="0"/>
        <w:autoSpaceDN w:val="0"/>
        <w:adjustRightInd w:val="0"/>
        <w:spacing w:before="120" w:after="120" w:line="220" w:lineRule="exact"/>
        <w:rPr>
          <w:rFonts w:ascii="Soberana Sans" w:hAnsi="Soberana Sans" w:cs="ACaslonPro-Bold"/>
          <w:b/>
          <w:bCs/>
          <w:sz w:val="20"/>
          <w:szCs w:val="20"/>
        </w:rPr>
      </w:pPr>
    </w:p>
    <w:p w:rsidR="00A30FF0" w:rsidRDefault="00A30FF0" w:rsidP="00C861A4">
      <w:pPr>
        <w:keepNext/>
        <w:spacing w:before="120" w:after="120" w:line="220" w:lineRule="exact"/>
        <w:outlineLvl w:val="2"/>
        <w:rPr>
          <w:rFonts w:eastAsia="Times New Roman"/>
          <w:b/>
          <w:bCs/>
          <w:iCs/>
          <w:szCs w:val="17"/>
          <w:lang w:val="es-ES" w:eastAsia="es-ES"/>
        </w:rPr>
      </w:pPr>
      <w:bookmarkStart w:id="19" w:name="_Toc411595750"/>
      <w:bookmarkStart w:id="20" w:name="_Toc412214579"/>
      <w:r w:rsidRPr="00D37AB5">
        <w:rPr>
          <w:rFonts w:eastAsia="Times New Roman"/>
          <w:b/>
          <w:bCs/>
          <w:iCs/>
          <w:szCs w:val="17"/>
          <w:lang w:val="es-ES" w:eastAsia="es-ES"/>
        </w:rPr>
        <w:t>Estrategia 6.1. Establecer mecanismos que permitan determinar el impacto de los programas y productos de la Institución</w:t>
      </w:r>
      <w:bookmarkEnd w:id="19"/>
      <w:bookmarkEnd w:id="20"/>
      <w:r w:rsidR="00A17DD7">
        <w:rPr>
          <w:rFonts w:eastAsia="Times New Roman"/>
          <w:b/>
          <w:bCs/>
          <w:iCs/>
          <w:szCs w:val="17"/>
          <w:lang w:val="es-ES" w:eastAsia="es-ES"/>
        </w:rPr>
        <w:t>.</w:t>
      </w:r>
    </w:p>
    <w:p w:rsidR="003C4DD2" w:rsidRPr="00D37AB5" w:rsidRDefault="003C4DD2" w:rsidP="00C861A4">
      <w:pPr>
        <w:keepNext/>
        <w:spacing w:before="120" w:after="120" w:line="220" w:lineRule="exact"/>
        <w:outlineLvl w:val="2"/>
        <w:rPr>
          <w:rFonts w:eastAsia="Times New Roman"/>
          <w:b/>
          <w:bCs/>
          <w:iCs/>
          <w:szCs w:val="17"/>
          <w:lang w:val="es-ES" w:eastAsia="es-ES"/>
        </w:rPr>
      </w:pPr>
    </w:p>
    <w:p w:rsidR="00BB00F6" w:rsidRPr="00BB00F6" w:rsidRDefault="0037584A" w:rsidP="00C861A4">
      <w:pPr>
        <w:spacing w:before="120" w:after="120" w:line="220" w:lineRule="exact"/>
        <w:rPr>
          <w:szCs w:val="17"/>
          <w:lang w:eastAsia="es-MX"/>
        </w:rPr>
      </w:pPr>
      <w:r w:rsidRPr="00BB00F6">
        <w:rPr>
          <w:szCs w:val="17"/>
          <w:lang w:eastAsia="es-MX"/>
        </w:rPr>
        <w:t>Se realizó l</w:t>
      </w:r>
      <w:r w:rsidR="00A30FF0" w:rsidRPr="00BB00F6">
        <w:rPr>
          <w:szCs w:val="17"/>
          <w:lang w:eastAsia="es-MX"/>
        </w:rPr>
        <w:t>a modificación del esquema de las Políticas de Asignación de Tasas de Interés, cuyos cambios radicaron en desvincular la política de tasas del apoyo de reducción de costos, consolidación de portafolios, asignación de tasas variables a proyecto</w:t>
      </w:r>
      <w:r w:rsidR="00BB00F6" w:rsidRPr="00BB00F6">
        <w:rPr>
          <w:szCs w:val="17"/>
          <w:lang w:eastAsia="es-MX"/>
        </w:rPr>
        <w:t>s con plazos mayores a 360 días.</w:t>
      </w:r>
    </w:p>
    <w:p w:rsidR="00BB00F6" w:rsidRPr="00BB00F6" w:rsidRDefault="00BB00F6" w:rsidP="00C861A4">
      <w:pPr>
        <w:spacing w:before="120" w:after="120" w:line="220" w:lineRule="exact"/>
        <w:rPr>
          <w:szCs w:val="17"/>
          <w:lang w:eastAsia="es-MX"/>
        </w:rPr>
      </w:pPr>
    </w:p>
    <w:p w:rsidR="00A30FF0" w:rsidRDefault="00BB00F6" w:rsidP="00C861A4">
      <w:pPr>
        <w:spacing w:before="120" w:after="120" w:line="220" w:lineRule="exact"/>
        <w:rPr>
          <w:szCs w:val="17"/>
          <w:lang w:eastAsia="es-MX"/>
        </w:rPr>
      </w:pPr>
      <w:r w:rsidRPr="00BB00F6">
        <w:rPr>
          <w:szCs w:val="17"/>
          <w:lang w:eastAsia="es-MX"/>
        </w:rPr>
        <w:t xml:space="preserve"> A</w:t>
      </w:r>
      <w:r w:rsidR="00A30FF0" w:rsidRPr="00BB00F6">
        <w:rPr>
          <w:szCs w:val="17"/>
          <w:lang w:eastAsia="es-MX"/>
        </w:rPr>
        <w:t>sí como la tasa única variable a créditos pren</w:t>
      </w:r>
      <w:r w:rsidR="00077041" w:rsidRPr="00BB00F6">
        <w:rPr>
          <w:szCs w:val="17"/>
          <w:lang w:eastAsia="es-MX"/>
        </w:rPr>
        <w:t>darios y operaciones de Reporto y para tasas de interés variables de largo plazo, contar con la posibilidad de acceder a una tasa fija equivalente.</w:t>
      </w:r>
    </w:p>
    <w:p w:rsidR="00C861A4" w:rsidRPr="00D37AB5" w:rsidRDefault="00C861A4" w:rsidP="00C861A4">
      <w:pPr>
        <w:spacing w:before="120" w:after="120" w:line="220" w:lineRule="exact"/>
        <w:rPr>
          <w:szCs w:val="17"/>
          <w:lang w:eastAsia="es-MX"/>
        </w:rPr>
      </w:pPr>
    </w:p>
    <w:p w:rsidR="00A30FF0" w:rsidRDefault="00A30FF0" w:rsidP="00C861A4">
      <w:pPr>
        <w:spacing w:before="120" w:after="120" w:line="220" w:lineRule="exact"/>
        <w:rPr>
          <w:szCs w:val="17"/>
          <w:lang w:eastAsia="es-MX"/>
        </w:rPr>
      </w:pPr>
      <w:r w:rsidRPr="00D37AB5">
        <w:rPr>
          <w:szCs w:val="17"/>
          <w:lang w:eastAsia="es-MX"/>
        </w:rPr>
        <w:t xml:space="preserve">Se incorporó en el Plan Estratégico de Tecnologías de la Información y Comunicaciones (PETIC) de la </w:t>
      </w:r>
      <w:r>
        <w:rPr>
          <w:szCs w:val="17"/>
          <w:lang w:eastAsia="es-MX"/>
        </w:rPr>
        <w:t>I</w:t>
      </w:r>
      <w:r w:rsidRPr="00D37AB5">
        <w:rPr>
          <w:szCs w:val="17"/>
          <w:lang w:eastAsia="es-MX"/>
        </w:rPr>
        <w:t>nstitución el Sistema de Gestión y Planeación Financiera que permitirá obtener información para la estimación de costos por agencias.</w:t>
      </w:r>
    </w:p>
    <w:p w:rsidR="00C861A4" w:rsidRPr="00D37AB5" w:rsidRDefault="00C861A4" w:rsidP="00C861A4">
      <w:pPr>
        <w:spacing w:before="120" w:after="120" w:line="220" w:lineRule="exact"/>
        <w:rPr>
          <w:szCs w:val="17"/>
          <w:lang w:eastAsia="es-MX"/>
        </w:rPr>
      </w:pPr>
    </w:p>
    <w:p w:rsidR="00A30FF0" w:rsidRPr="00D37AB5" w:rsidRDefault="00A30FF0" w:rsidP="00C861A4">
      <w:pPr>
        <w:spacing w:before="120" w:after="120" w:line="220" w:lineRule="exact"/>
        <w:rPr>
          <w:szCs w:val="17"/>
          <w:lang w:eastAsia="es-MX"/>
        </w:rPr>
      </w:pPr>
      <w:r w:rsidRPr="00D37AB5">
        <w:rPr>
          <w:szCs w:val="17"/>
          <w:lang w:eastAsia="es-MX"/>
        </w:rPr>
        <w:t xml:space="preserve">A fin de mantener la sustentabilidad de la Institución, se continuó el seguimiento a la rentabilidad institucional y de los productos tanto en el Grupo de Trabajo de Administración de Activos y Pasivos, como en el Comité Interno de Administración de Activos y Pasivos Financieros. </w:t>
      </w:r>
    </w:p>
    <w:p w:rsidR="00A30FF0" w:rsidRPr="00D37AB5" w:rsidRDefault="00A30FF0" w:rsidP="00C861A4">
      <w:pPr>
        <w:spacing w:before="120" w:after="120" w:line="220" w:lineRule="exact"/>
        <w:rPr>
          <w:szCs w:val="17"/>
          <w:lang w:eastAsia="es-MX"/>
        </w:rPr>
      </w:pPr>
    </w:p>
    <w:p w:rsidR="00A30FF0" w:rsidRPr="00D37AB5" w:rsidRDefault="00A30FF0" w:rsidP="00C861A4">
      <w:pPr>
        <w:spacing w:before="120" w:after="120" w:line="220" w:lineRule="exact"/>
        <w:rPr>
          <w:szCs w:val="17"/>
          <w:lang w:eastAsia="es-MX"/>
        </w:rPr>
      </w:pPr>
      <w:r w:rsidRPr="00D37AB5">
        <w:rPr>
          <w:szCs w:val="17"/>
          <w:lang w:eastAsia="es-MX"/>
        </w:rPr>
        <w:t>Asimismo, fueron aprobados los Modelos de Colocación y Recuperación 2018 por el Comité de Administración Integral de Riesgos (CAIR).</w:t>
      </w:r>
    </w:p>
    <w:p w:rsidR="00A30FF0" w:rsidRDefault="00A30FF0" w:rsidP="00C861A4">
      <w:pPr>
        <w:keepNext/>
        <w:spacing w:before="120" w:after="120" w:line="220" w:lineRule="exact"/>
        <w:outlineLvl w:val="2"/>
        <w:rPr>
          <w:rFonts w:eastAsia="Times New Roman"/>
          <w:b/>
          <w:bCs/>
          <w:iCs/>
          <w:szCs w:val="17"/>
          <w:lang w:val="es-ES" w:eastAsia="es-ES"/>
        </w:rPr>
      </w:pPr>
      <w:bookmarkStart w:id="21" w:name="_Toc411595751"/>
      <w:bookmarkStart w:id="22" w:name="_Toc412214580"/>
    </w:p>
    <w:p w:rsidR="00A30FF0" w:rsidRDefault="00A30FF0" w:rsidP="00C861A4">
      <w:pPr>
        <w:keepNext/>
        <w:spacing w:before="120" w:after="120" w:line="220" w:lineRule="exact"/>
        <w:outlineLvl w:val="2"/>
        <w:rPr>
          <w:rFonts w:eastAsia="Times New Roman"/>
          <w:b/>
          <w:bCs/>
          <w:iCs/>
          <w:szCs w:val="17"/>
          <w:lang w:val="es-ES" w:eastAsia="es-ES"/>
        </w:rPr>
      </w:pPr>
      <w:r w:rsidRPr="00D37AB5">
        <w:rPr>
          <w:rFonts w:eastAsia="Times New Roman"/>
          <w:b/>
          <w:bCs/>
          <w:iCs/>
          <w:szCs w:val="17"/>
          <w:lang w:val="es-ES" w:eastAsia="es-ES"/>
        </w:rPr>
        <w:t>Estrategia 6.2. Desarrollar las capacidades técnicas para la formulación de programas y productos a fin de determinar riesgos y mitigarlos</w:t>
      </w:r>
      <w:bookmarkEnd w:id="21"/>
      <w:bookmarkEnd w:id="22"/>
      <w:r w:rsidR="00A17DD7">
        <w:rPr>
          <w:rFonts w:eastAsia="Times New Roman"/>
          <w:b/>
          <w:bCs/>
          <w:iCs/>
          <w:szCs w:val="17"/>
          <w:lang w:val="es-ES" w:eastAsia="es-ES"/>
        </w:rPr>
        <w:t>.</w:t>
      </w:r>
    </w:p>
    <w:p w:rsidR="003C4DD2" w:rsidRPr="00D37AB5" w:rsidRDefault="003C4DD2" w:rsidP="00C861A4">
      <w:pPr>
        <w:keepNext/>
        <w:spacing w:before="120" w:after="120" w:line="220" w:lineRule="exact"/>
        <w:outlineLvl w:val="2"/>
        <w:rPr>
          <w:rFonts w:eastAsia="Times New Roman"/>
          <w:b/>
          <w:bCs/>
          <w:iCs/>
          <w:szCs w:val="17"/>
          <w:lang w:val="es-ES" w:eastAsia="es-ES"/>
        </w:rPr>
      </w:pPr>
    </w:p>
    <w:p w:rsidR="00A30FF0" w:rsidRDefault="00A30FF0" w:rsidP="00C861A4">
      <w:pPr>
        <w:spacing w:before="120" w:after="120" w:line="220" w:lineRule="exact"/>
        <w:rPr>
          <w:szCs w:val="17"/>
          <w:lang w:eastAsia="es-MX"/>
        </w:rPr>
      </w:pPr>
      <w:r w:rsidRPr="00D37AB5">
        <w:rPr>
          <w:szCs w:val="17"/>
          <w:lang w:eastAsia="es-MX"/>
        </w:rPr>
        <w:t>En materia de desarrollo del capital humano se registraron dos postulaciones del personal en el Programa de Formación de Alto Nivel para la Administración Pública Federal del CONACYT.</w:t>
      </w:r>
    </w:p>
    <w:p w:rsidR="00C861A4" w:rsidRPr="00D37AB5" w:rsidRDefault="00C861A4" w:rsidP="00C861A4">
      <w:pPr>
        <w:spacing w:before="120" w:after="120" w:line="220" w:lineRule="exact"/>
        <w:rPr>
          <w:szCs w:val="17"/>
          <w:lang w:eastAsia="es-MX"/>
        </w:rPr>
      </w:pPr>
    </w:p>
    <w:p w:rsidR="00A30FF0" w:rsidRDefault="00A30FF0" w:rsidP="00C861A4">
      <w:pPr>
        <w:spacing w:before="120" w:after="120" w:line="220" w:lineRule="exact"/>
        <w:rPr>
          <w:szCs w:val="17"/>
          <w:lang w:eastAsia="es-MX"/>
        </w:rPr>
      </w:pPr>
      <w:r w:rsidRPr="00D37AB5">
        <w:rPr>
          <w:szCs w:val="17"/>
          <w:lang w:eastAsia="es-MX"/>
        </w:rPr>
        <w:t>Durante el ejercicio 2017 se brindó mantenimiento y se desarrollaron los sistemas informáticos relacionados con la formulación de programas y productos, aplicándose los estándares de validación y aseguramiento de la calidad de soluciones tecnológicas.</w:t>
      </w:r>
    </w:p>
    <w:p w:rsidR="00C861A4" w:rsidRPr="00D37AB5" w:rsidRDefault="00C861A4" w:rsidP="00C861A4">
      <w:pPr>
        <w:spacing w:before="120" w:after="120" w:line="220" w:lineRule="exact"/>
        <w:rPr>
          <w:szCs w:val="17"/>
          <w:lang w:eastAsia="es-MX"/>
        </w:rPr>
      </w:pPr>
    </w:p>
    <w:p w:rsidR="00A30FF0" w:rsidRPr="00D37AB5" w:rsidRDefault="00A30FF0" w:rsidP="00C861A4">
      <w:pPr>
        <w:spacing w:before="120" w:after="120" w:line="220" w:lineRule="exact"/>
        <w:rPr>
          <w:szCs w:val="17"/>
          <w:lang w:eastAsia="es-MX"/>
        </w:rPr>
      </w:pPr>
      <w:r w:rsidRPr="00D37AB5">
        <w:rPr>
          <w:szCs w:val="17"/>
          <w:lang w:eastAsia="es-MX"/>
        </w:rPr>
        <w:t xml:space="preserve">En lo relativo a la generación de información para la toma de decisiones en las distintas áreas de la </w:t>
      </w:r>
      <w:r>
        <w:rPr>
          <w:szCs w:val="17"/>
          <w:lang w:eastAsia="es-MX"/>
        </w:rPr>
        <w:t>I</w:t>
      </w:r>
      <w:r w:rsidRPr="00D37AB5">
        <w:rPr>
          <w:szCs w:val="17"/>
          <w:lang w:eastAsia="es-MX"/>
        </w:rPr>
        <w:t>nstitución, se llevaron a cabo acciones de mejora y adecuación de los sistemas de captura de información con base a los requerimientos de las áreas sustantivas y administrativas.</w:t>
      </w:r>
    </w:p>
    <w:p w:rsidR="00A30FF0" w:rsidRDefault="00A30FF0" w:rsidP="00C861A4">
      <w:pPr>
        <w:keepNext/>
        <w:spacing w:before="120" w:after="120" w:line="220" w:lineRule="exact"/>
        <w:outlineLvl w:val="2"/>
        <w:rPr>
          <w:rFonts w:eastAsia="Times New Roman"/>
          <w:b/>
          <w:bCs/>
          <w:iCs/>
          <w:szCs w:val="17"/>
          <w:lang w:val="es-ES" w:eastAsia="es-ES"/>
        </w:rPr>
      </w:pPr>
      <w:bookmarkStart w:id="23" w:name="_Toc411595752"/>
      <w:bookmarkStart w:id="24" w:name="_Toc412214581"/>
    </w:p>
    <w:p w:rsidR="00A30FF0" w:rsidRDefault="00A30FF0" w:rsidP="00C861A4">
      <w:pPr>
        <w:keepNext/>
        <w:spacing w:before="120" w:after="120" w:line="220" w:lineRule="exact"/>
        <w:outlineLvl w:val="2"/>
        <w:rPr>
          <w:rFonts w:eastAsia="Times New Roman"/>
          <w:b/>
          <w:bCs/>
          <w:iCs/>
          <w:szCs w:val="17"/>
          <w:lang w:val="es-ES" w:eastAsia="es-ES"/>
        </w:rPr>
      </w:pPr>
      <w:r w:rsidRPr="00D37AB5">
        <w:rPr>
          <w:rFonts w:eastAsia="Times New Roman"/>
          <w:b/>
          <w:bCs/>
          <w:iCs/>
          <w:szCs w:val="17"/>
          <w:lang w:val="es-ES" w:eastAsia="es-ES"/>
        </w:rPr>
        <w:t>Estrategia 6.3 Establecer el apetito de riesgo de la Institución</w:t>
      </w:r>
      <w:bookmarkEnd w:id="23"/>
      <w:bookmarkEnd w:id="24"/>
      <w:r w:rsidR="00A17DD7">
        <w:rPr>
          <w:rFonts w:eastAsia="Times New Roman"/>
          <w:b/>
          <w:bCs/>
          <w:iCs/>
          <w:szCs w:val="17"/>
          <w:lang w:val="es-ES" w:eastAsia="es-ES"/>
        </w:rPr>
        <w:t>.</w:t>
      </w:r>
    </w:p>
    <w:p w:rsidR="003C4DD2" w:rsidRPr="00D37AB5" w:rsidRDefault="003C4DD2" w:rsidP="00C861A4">
      <w:pPr>
        <w:keepNext/>
        <w:spacing w:before="120" w:after="120" w:line="220" w:lineRule="exact"/>
        <w:outlineLvl w:val="2"/>
        <w:rPr>
          <w:rFonts w:eastAsia="Times New Roman"/>
          <w:b/>
          <w:bCs/>
          <w:iCs/>
          <w:szCs w:val="17"/>
          <w:lang w:val="es-ES" w:eastAsia="es-ES"/>
        </w:rPr>
      </w:pPr>
    </w:p>
    <w:p w:rsidR="00A30FF0" w:rsidRDefault="00A30FF0" w:rsidP="00C861A4">
      <w:pPr>
        <w:spacing w:before="120" w:after="120" w:line="220" w:lineRule="exact"/>
        <w:rPr>
          <w:szCs w:val="17"/>
          <w:lang w:eastAsia="es-MX"/>
        </w:rPr>
      </w:pPr>
      <w:r w:rsidRPr="00D37AB5">
        <w:rPr>
          <w:szCs w:val="17"/>
          <w:lang w:eastAsia="es-MX"/>
        </w:rPr>
        <w:t>En la 77</w:t>
      </w:r>
      <w:r w:rsidR="00C628AB">
        <w:rPr>
          <w:szCs w:val="17"/>
          <w:lang w:eastAsia="es-MX"/>
        </w:rPr>
        <w:t>ª.</w:t>
      </w:r>
      <w:r w:rsidRPr="00D37AB5">
        <w:rPr>
          <w:szCs w:val="17"/>
          <w:lang w:eastAsia="es-MX"/>
        </w:rPr>
        <w:t xml:space="preserve"> Sesión Ordinaria </w:t>
      </w:r>
      <w:r w:rsidR="0037584A">
        <w:rPr>
          <w:szCs w:val="17"/>
          <w:lang w:eastAsia="es-MX"/>
        </w:rPr>
        <w:t xml:space="preserve">celebrada </w:t>
      </w:r>
      <w:r w:rsidRPr="00D37AB5">
        <w:rPr>
          <w:szCs w:val="17"/>
          <w:lang w:eastAsia="es-MX"/>
        </w:rPr>
        <w:t>el 8 de marzo de 2017</w:t>
      </w:r>
      <w:r w:rsidR="00AC7979">
        <w:rPr>
          <w:szCs w:val="17"/>
          <w:lang w:eastAsia="es-MX"/>
        </w:rPr>
        <w:t>,</w:t>
      </w:r>
      <w:r w:rsidRPr="00D37AB5">
        <w:rPr>
          <w:szCs w:val="17"/>
          <w:lang w:eastAsia="es-MX"/>
        </w:rPr>
        <w:t xml:space="preserve"> por Acuerdo del H. Consejo Directivo, </w:t>
      </w:r>
      <w:r w:rsidR="00AC7979" w:rsidRPr="00AC7979">
        <w:rPr>
          <w:szCs w:val="17"/>
          <w:lang w:eastAsia="es-MX"/>
        </w:rPr>
        <w:t>se aprobaron los límites de riesgo y niveles de tolerancia que previamente fueron opinados favorablemente por el Comité de Administración Integral de Riesgos</w:t>
      </w:r>
      <w:r w:rsidRPr="00D37AB5">
        <w:rPr>
          <w:szCs w:val="17"/>
          <w:lang w:eastAsia="es-MX"/>
        </w:rPr>
        <w:t>.</w:t>
      </w:r>
    </w:p>
    <w:p w:rsidR="00C861A4" w:rsidRPr="00D37AB5" w:rsidRDefault="00C861A4" w:rsidP="00C861A4">
      <w:pPr>
        <w:spacing w:before="120" w:after="120" w:line="220" w:lineRule="exact"/>
        <w:rPr>
          <w:szCs w:val="17"/>
          <w:lang w:eastAsia="es-MX"/>
        </w:rPr>
      </w:pPr>
    </w:p>
    <w:p w:rsidR="00A30FF0" w:rsidRDefault="00A30FF0" w:rsidP="00C861A4">
      <w:pPr>
        <w:spacing w:before="120" w:after="120" w:line="220" w:lineRule="exact"/>
        <w:rPr>
          <w:szCs w:val="17"/>
          <w:lang w:eastAsia="es-MX"/>
        </w:rPr>
      </w:pPr>
      <w:r w:rsidRPr="00D37AB5">
        <w:rPr>
          <w:szCs w:val="17"/>
          <w:lang w:eastAsia="es-MX"/>
        </w:rPr>
        <w:lastRenderedPageBreak/>
        <w:t xml:space="preserve">Asimismo, se presentaron los Objetivos, Lineamientos y Políticas de Administración Integral de Riesgos (OLPAIR), en </w:t>
      </w:r>
      <w:r w:rsidR="0037584A">
        <w:rPr>
          <w:szCs w:val="17"/>
          <w:lang w:eastAsia="es-MX"/>
        </w:rPr>
        <w:t>los que</w:t>
      </w:r>
      <w:r w:rsidRPr="00D37AB5">
        <w:rPr>
          <w:szCs w:val="17"/>
          <w:lang w:eastAsia="es-MX"/>
        </w:rPr>
        <w:t xml:space="preserve"> se establece el apetito de riesgo mediante la determinación de límites de exposición, de concentración y de mitigantes de riesgo.</w:t>
      </w:r>
    </w:p>
    <w:p w:rsidR="00C861A4" w:rsidRPr="00D37AB5" w:rsidRDefault="00C861A4" w:rsidP="00C861A4">
      <w:pPr>
        <w:spacing w:before="120" w:after="120" w:line="220" w:lineRule="exact"/>
        <w:rPr>
          <w:szCs w:val="17"/>
          <w:lang w:eastAsia="es-MX"/>
        </w:rPr>
      </w:pPr>
    </w:p>
    <w:p w:rsidR="00A30FF0" w:rsidRPr="00D37AB5" w:rsidRDefault="00A30FF0" w:rsidP="00C861A4">
      <w:pPr>
        <w:spacing w:before="120" w:after="120" w:line="220" w:lineRule="exact"/>
        <w:rPr>
          <w:szCs w:val="17"/>
          <w:lang w:eastAsia="es-MX"/>
        </w:rPr>
      </w:pPr>
      <w:r w:rsidRPr="00D37AB5">
        <w:rPr>
          <w:szCs w:val="17"/>
          <w:lang w:eastAsia="es-MX"/>
        </w:rPr>
        <w:t xml:space="preserve">De manera periódica se informan los límites de riesgo de la </w:t>
      </w:r>
      <w:r>
        <w:rPr>
          <w:szCs w:val="17"/>
          <w:lang w:eastAsia="es-MX"/>
        </w:rPr>
        <w:t>I</w:t>
      </w:r>
      <w:r w:rsidRPr="00D37AB5">
        <w:rPr>
          <w:szCs w:val="17"/>
          <w:lang w:eastAsia="es-MX"/>
        </w:rPr>
        <w:t>nstitución. A la par, mensualmente se presentan informes del comportamiento de los límites y trimestralmente</w:t>
      </w:r>
      <w:r w:rsidR="0037584A">
        <w:rPr>
          <w:szCs w:val="17"/>
          <w:lang w:eastAsia="es-MX"/>
        </w:rPr>
        <w:t>,</w:t>
      </w:r>
      <w:r w:rsidRPr="00D37AB5">
        <w:rPr>
          <w:szCs w:val="17"/>
          <w:lang w:eastAsia="es-MX"/>
        </w:rPr>
        <w:t xml:space="preserve"> del comportamiento de los niveles de tolerancia conforme a la normatividad vigente.</w:t>
      </w:r>
    </w:p>
    <w:p w:rsidR="00A30FF0" w:rsidRDefault="00A30FF0" w:rsidP="00A30FF0">
      <w:pPr>
        <w:pStyle w:val="TITULO5SECCIN"/>
        <w:jc w:val="both"/>
      </w:pPr>
    </w:p>
    <w:p w:rsidR="001A051F" w:rsidRDefault="001A051F" w:rsidP="001A051F"/>
    <w:p w:rsidR="001A051F" w:rsidRDefault="001A051F" w:rsidP="001A051F"/>
    <w:p w:rsidR="001A051F" w:rsidRDefault="001A051F" w:rsidP="001A051F"/>
    <w:p w:rsidR="001A051F" w:rsidRDefault="001A051F" w:rsidP="001A051F"/>
    <w:p w:rsidR="001A051F" w:rsidRDefault="001A051F" w:rsidP="001A051F"/>
    <w:p w:rsidR="001A051F" w:rsidRDefault="001A051F" w:rsidP="001A051F"/>
    <w:p w:rsidR="001A051F" w:rsidRDefault="001A051F" w:rsidP="001A051F"/>
    <w:p w:rsidR="001A051F" w:rsidRDefault="001A051F" w:rsidP="001A051F"/>
    <w:p w:rsidR="001A051F" w:rsidRDefault="001A051F" w:rsidP="001A051F"/>
    <w:p w:rsidR="001A051F" w:rsidRPr="001A051F" w:rsidRDefault="001A051F" w:rsidP="001A051F">
      <w:pPr>
        <w:sectPr w:rsidR="001A051F" w:rsidRPr="001A051F" w:rsidSect="000F6ADC">
          <w:type w:val="continuous"/>
          <w:pgSz w:w="12240" w:h="15840" w:code="1"/>
          <w:pgMar w:top="2268" w:right="1418" w:bottom="1134" w:left="1418" w:header="0" w:footer="567" w:gutter="0"/>
          <w:cols w:num="2" w:space="454"/>
          <w:docGrid w:linePitch="360"/>
        </w:sectPr>
      </w:pPr>
    </w:p>
    <w:p w:rsidR="001A051F" w:rsidRDefault="001A051F">
      <w:pPr>
        <w:spacing w:after="0" w:line="240" w:lineRule="auto"/>
        <w:jc w:val="left"/>
        <w:rPr>
          <w:rFonts w:ascii="Soberana Sans" w:hAnsi="Soberana Sans" w:cs="ACaslonPro-Bold"/>
          <w:b/>
          <w:bCs/>
          <w:sz w:val="20"/>
          <w:szCs w:val="20"/>
        </w:rPr>
      </w:pPr>
      <w:r>
        <w:br w:type="page"/>
      </w:r>
    </w:p>
    <w:p w:rsidR="00A30FF0" w:rsidRDefault="003C4DD2" w:rsidP="003C4DD2">
      <w:pPr>
        <w:pStyle w:val="TITULO5SECCIN"/>
      </w:pPr>
      <w:r>
        <w:lastRenderedPageBreak/>
        <w:t>Avance</w:t>
      </w:r>
      <w:r w:rsidR="00A30FF0">
        <w:t xml:space="preserve"> de los indicadores </w:t>
      </w:r>
    </w:p>
    <w:p w:rsidR="003C4DD2" w:rsidRPr="003C4DD2" w:rsidRDefault="003C4DD2" w:rsidP="003C4DD2"/>
    <w:tbl>
      <w:tblPr>
        <w:tblW w:w="913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98"/>
        <w:gridCol w:w="1235"/>
        <w:gridCol w:w="945"/>
        <w:gridCol w:w="1105"/>
        <w:gridCol w:w="945"/>
        <w:gridCol w:w="1103"/>
        <w:gridCol w:w="1103"/>
        <w:gridCol w:w="1103"/>
      </w:tblGrid>
      <w:tr w:rsidR="00A30FF0" w:rsidRPr="00676990" w:rsidTr="00590A31">
        <w:trPr>
          <w:trHeight w:val="513"/>
          <w:jc w:val="center"/>
        </w:trPr>
        <w:tc>
          <w:tcPr>
            <w:tcW w:w="1598" w:type="dxa"/>
            <w:shd w:val="clear" w:color="auto" w:fill="D9D9D9"/>
            <w:vAlign w:val="center"/>
          </w:tcPr>
          <w:p w:rsidR="00A30FF0" w:rsidRPr="00676990" w:rsidRDefault="00A30FF0" w:rsidP="000F6ADC">
            <w:pPr>
              <w:autoSpaceDE w:val="0"/>
              <w:autoSpaceDN w:val="0"/>
              <w:adjustRightInd w:val="0"/>
              <w:spacing w:before="160" w:after="160" w:line="240" w:lineRule="auto"/>
              <w:jc w:val="center"/>
              <w:rPr>
                <w:rFonts w:cs="ACaslonPro-Bold"/>
                <w:b/>
                <w:bCs/>
                <w:sz w:val="16"/>
                <w:szCs w:val="16"/>
              </w:rPr>
            </w:pPr>
            <w:r w:rsidRPr="00676990">
              <w:rPr>
                <w:rFonts w:cs="ACaslonPro-Bold"/>
                <w:b/>
                <w:bCs/>
                <w:sz w:val="16"/>
                <w:szCs w:val="16"/>
              </w:rPr>
              <w:t>Nombre</w:t>
            </w:r>
          </w:p>
        </w:tc>
        <w:tc>
          <w:tcPr>
            <w:tcW w:w="1235" w:type="dxa"/>
            <w:shd w:val="clear" w:color="auto" w:fill="D9D9D9"/>
            <w:vAlign w:val="center"/>
          </w:tcPr>
          <w:p w:rsidR="00A30FF0" w:rsidRPr="00676990" w:rsidRDefault="00A30FF0" w:rsidP="000F6ADC">
            <w:pPr>
              <w:autoSpaceDE w:val="0"/>
              <w:autoSpaceDN w:val="0"/>
              <w:adjustRightInd w:val="0"/>
              <w:spacing w:before="160" w:after="160" w:line="240" w:lineRule="auto"/>
              <w:jc w:val="center"/>
              <w:rPr>
                <w:rFonts w:cs="ACaslonPro-Bold"/>
                <w:b/>
                <w:bCs/>
                <w:sz w:val="16"/>
                <w:szCs w:val="16"/>
              </w:rPr>
            </w:pPr>
            <w:r w:rsidRPr="00676990">
              <w:rPr>
                <w:rFonts w:cs="ACaslonPro-Bold"/>
                <w:b/>
                <w:bCs/>
                <w:sz w:val="16"/>
                <w:szCs w:val="16"/>
              </w:rPr>
              <w:t>Línea base</w:t>
            </w:r>
          </w:p>
        </w:tc>
        <w:tc>
          <w:tcPr>
            <w:tcW w:w="945" w:type="dxa"/>
            <w:shd w:val="clear" w:color="auto" w:fill="D9D9D9"/>
            <w:vAlign w:val="center"/>
          </w:tcPr>
          <w:p w:rsidR="00A30FF0" w:rsidRPr="00676990" w:rsidRDefault="00A30FF0" w:rsidP="000F6ADC">
            <w:pPr>
              <w:autoSpaceDE w:val="0"/>
              <w:autoSpaceDN w:val="0"/>
              <w:adjustRightInd w:val="0"/>
              <w:spacing w:before="160" w:after="160" w:line="240" w:lineRule="auto"/>
              <w:jc w:val="center"/>
              <w:rPr>
                <w:rFonts w:cs="ACaslonPro-Bold"/>
                <w:b/>
                <w:bCs/>
                <w:sz w:val="16"/>
                <w:szCs w:val="16"/>
              </w:rPr>
            </w:pPr>
            <w:r w:rsidRPr="00676990">
              <w:rPr>
                <w:rFonts w:cs="ACaslonPro-Bold"/>
                <w:b/>
                <w:bCs/>
                <w:sz w:val="16"/>
                <w:szCs w:val="16"/>
              </w:rPr>
              <w:t>2013</w:t>
            </w:r>
          </w:p>
        </w:tc>
        <w:tc>
          <w:tcPr>
            <w:tcW w:w="1105" w:type="dxa"/>
            <w:shd w:val="clear" w:color="auto" w:fill="D9D9D9"/>
            <w:vAlign w:val="center"/>
          </w:tcPr>
          <w:p w:rsidR="00A30FF0" w:rsidRPr="00676990" w:rsidRDefault="00A30FF0" w:rsidP="000F6ADC">
            <w:pPr>
              <w:autoSpaceDE w:val="0"/>
              <w:autoSpaceDN w:val="0"/>
              <w:adjustRightInd w:val="0"/>
              <w:spacing w:before="160" w:after="160" w:line="240" w:lineRule="auto"/>
              <w:jc w:val="center"/>
              <w:rPr>
                <w:rFonts w:cs="ACaslonPro-Bold"/>
                <w:b/>
                <w:bCs/>
                <w:sz w:val="16"/>
                <w:szCs w:val="16"/>
              </w:rPr>
            </w:pPr>
            <w:r w:rsidRPr="00676990">
              <w:rPr>
                <w:rFonts w:cs="ACaslonPro-Bold"/>
                <w:b/>
                <w:bCs/>
                <w:sz w:val="16"/>
                <w:szCs w:val="16"/>
              </w:rPr>
              <w:t>2014</w:t>
            </w:r>
          </w:p>
        </w:tc>
        <w:tc>
          <w:tcPr>
            <w:tcW w:w="945" w:type="dxa"/>
            <w:shd w:val="clear" w:color="auto" w:fill="D9D9D9"/>
            <w:vAlign w:val="center"/>
          </w:tcPr>
          <w:p w:rsidR="00A30FF0" w:rsidRPr="00676990" w:rsidRDefault="00A30FF0" w:rsidP="000F6ADC">
            <w:pPr>
              <w:autoSpaceDE w:val="0"/>
              <w:autoSpaceDN w:val="0"/>
              <w:adjustRightInd w:val="0"/>
              <w:spacing w:before="160" w:after="160" w:line="240" w:lineRule="auto"/>
              <w:jc w:val="center"/>
              <w:rPr>
                <w:rFonts w:cs="ACaslonPro-Bold"/>
                <w:b/>
                <w:bCs/>
                <w:sz w:val="16"/>
                <w:szCs w:val="16"/>
              </w:rPr>
            </w:pPr>
            <w:r w:rsidRPr="00676990">
              <w:rPr>
                <w:rFonts w:cs="ACaslonPro-Bold"/>
                <w:b/>
                <w:bCs/>
                <w:sz w:val="16"/>
                <w:szCs w:val="16"/>
              </w:rPr>
              <w:t>2015</w:t>
            </w:r>
          </w:p>
        </w:tc>
        <w:tc>
          <w:tcPr>
            <w:tcW w:w="1103" w:type="dxa"/>
            <w:shd w:val="clear" w:color="auto" w:fill="D9D9D9"/>
            <w:vAlign w:val="center"/>
          </w:tcPr>
          <w:p w:rsidR="00A30FF0" w:rsidRPr="00676990" w:rsidRDefault="00A30FF0" w:rsidP="000F6ADC">
            <w:pPr>
              <w:autoSpaceDE w:val="0"/>
              <w:autoSpaceDN w:val="0"/>
              <w:adjustRightInd w:val="0"/>
              <w:spacing w:before="160" w:after="160" w:line="240" w:lineRule="auto"/>
              <w:jc w:val="center"/>
              <w:rPr>
                <w:rFonts w:cs="ACaslonPro-Bold"/>
                <w:b/>
                <w:bCs/>
                <w:sz w:val="16"/>
                <w:szCs w:val="16"/>
              </w:rPr>
            </w:pPr>
            <w:r>
              <w:rPr>
                <w:rFonts w:cs="ACaslonPro-Bold"/>
                <w:b/>
                <w:bCs/>
                <w:sz w:val="16"/>
                <w:szCs w:val="16"/>
              </w:rPr>
              <w:t>2016</w:t>
            </w:r>
          </w:p>
        </w:tc>
        <w:tc>
          <w:tcPr>
            <w:tcW w:w="1103" w:type="dxa"/>
            <w:shd w:val="clear" w:color="auto" w:fill="D9D9D9"/>
            <w:vAlign w:val="center"/>
          </w:tcPr>
          <w:p w:rsidR="00A30FF0" w:rsidRPr="00676990" w:rsidRDefault="00A30FF0" w:rsidP="000F6ADC">
            <w:pPr>
              <w:autoSpaceDE w:val="0"/>
              <w:autoSpaceDN w:val="0"/>
              <w:adjustRightInd w:val="0"/>
              <w:spacing w:before="160" w:after="160" w:line="240" w:lineRule="auto"/>
              <w:jc w:val="center"/>
              <w:rPr>
                <w:rFonts w:cs="ACaslonPro-Bold"/>
                <w:b/>
                <w:bCs/>
                <w:sz w:val="16"/>
                <w:szCs w:val="16"/>
              </w:rPr>
            </w:pPr>
            <w:r>
              <w:rPr>
                <w:rFonts w:cs="ACaslonPro-Bold"/>
                <w:b/>
                <w:bCs/>
                <w:sz w:val="16"/>
                <w:szCs w:val="16"/>
              </w:rPr>
              <w:t>2017</w:t>
            </w:r>
          </w:p>
        </w:tc>
        <w:tc>
          <w:tcPr>
            <w:tcW w:w="1103" w:type="dxa"/>
            <w:shd w:val="clear" w:color="auto" w:fill="D9D9D9"/>
            <w:vAlign w:val="center"/>
          </w:tcPr>
          <w:p w:rsidR="00A30FF0" w:rsidRPr="00676990" w:rsidRDefault="00A30FF0" w:rsidP="000F6ADC">
            <w:pPr>
              <w:autoSpaceDE w:val="0"/>
              <w:autoSpaceDN w:val="0"/>
              <w:adjustRightInd w:val="0"/>
              <w:spacing w:before="160" w:after="160" w:line="240" w:lineRule="auto"/>
              <w:jc w:val="center"/>
              <w:rPr>
                <w:rFonts w:cs="ACaslonPro-Bold"/>
                <w:b/>
                <w:bCs/>
                <w:sz w:val="16"/>
                <w:szCs w:val="16"/>
              </w:rPr>
            </w:pPr>
            <w:r w:rsidRPr="00676990">
              <w:rPr>
                <w:rFonts w:cs="ACaslonPro-Bold"/>
                <w:b/>
                <w:bCs/>
                <w:sz w:val="16"/>
                <w:szCs w:val="16"/>
              </w:rPr>
              <w:t>Meta 2018</w:t>
            </w:r>
          </w:p>
        </w:tc>
      </w:tr>
      <w:tr w:rsidR="00A30FF0" w:rsidRPr="00676990" w:rsidTr="00590A31">
        <w:trPr>
          <w:trHeight w:val="794"/>
          <w:jc w:val="center"/>
        </w:trPr>
        <w:tc>
          <w:tcPr>
            <w:tcW w:w="1598" w:type="dxa"/>
            <w:shd w:val="clear" w:color="auto" w:fill="auto"/>
            <w:vAlign w:val="center"/>
          </w:tcPr>
          <w:p w:rsidR="00A30FF0" w:rsidRPr="00676990" w:rsidRDefault="00A30FF0" w:rsidP="000F6ADC">
            <w:pPr>
              <w:jc w:val="center"/>
              <w:rPr>
                <w:rFonts w:ascii="Soberana Sans" w:hAnsi="Soberana Sans"/>
                <w:color w:val="000000"/>
                <w:sz w:val="15"/>
                <w:szCs w:val="15"/>
              </w:rPr>
            </w:pPr>
            <w:r w:rsidRPr="00676990">
              <w:rPr>
                <w:rFonts w:ascii="Soberana Sans" w:hAnsi="Soberana Sans"/>
                <w:color w:val="000000"/>
                <w:sz w:val="15"/>
                <w:szCs w:val="15"/>
              </w:rPr>
              <w:t>Mantener el patrimonio de la Institución en términos reales.</w:t>
            </w:r>
            <w:r w:rsidRPr="00676990">
              <w:rPr>
                <w:rFonts w:ascii="Soberana Sans" w:hAnsi="Soberana Sans"/>
                <w:color w:val="000000"/>
                <w:sz w:val="15"/>
                <w:szCs w:val="15"/>
              </w:rPr>
              <w:br/>
              <w:t>(Anual)</w:t>
            </w:r>
          </w:p>
        </w:tc>
        <w:tc>
          <w:tcPr>
            <w:tcW w:w="1235" w:type="dxa"/>
            <w:shd w:val="clear" w:color="auto" w:fill="auto"/>
            <w:vAlign w:val="center"/>
          </w:tcPr>
          <w:p w:rsidR="00A30FF0" w:rsidRPr="00676990" w:rsidRDefault="00A30FF0" w:rsidP="000F6ADC">
            <w:pPr>
              <w:jc w:val="center"/>
              <w:rPr>
                <w:rFonts w:ascii="Soberana Sans" w:hAnsi="Soberana Sans"/>
                <w:color w:val="000000"/>
                <w:sz w:val="15"/>
                <w:szCs w:val="15"/>
              </w:rPr>
            </w:pPr>
            <w:r w:rsidRPr="00676990">
              <w:rPr>
                <w:rFonts w:ascii="Soberana Sans" w:hAnsi="Soberana Sans"/>
                <w:color w:val="000000"/>
                <w:sz w:val="15"/>
                <w:szCs w:val="15"/>
              </w:rPr>
              <w:t>100.0%</w:t>
            </w:r>
          </w:p>
          <w:p w:rsidR="00A30FF0" w:rsidRPr="00676990" w:rsidRDefault="00A30FF0" w:rsidP="000F6ADC">
            <w:pPr>
              <w:jc w:val="center"/>
              <w:rPr>
                <w:rFonts w:ascii="Soberana Sans" w:hAnsi="Soberana Sans"/>
                <w:color w:val="000000"/>
                <w:sz w:val="15"/>
                <w:szCs w:val="15"/>
              </w:rPr>
            </w:pPr>
            <w:r w:rsidRPr="00676990">
              <w:rPr>
                <w:rFonts w:ascii="Soberana Sans" w:hAnsi="Soberana Sans"/>
                <w:color w:val="000000"/>
                <w:sz w:val="15"/>
                <w:szCs w:val="15"/>
              </w:rPr>
              <w:t>(2013)</w:t>
            </w:r>
          </w:p>
        </w:tc>
        <w:tc>
          <w:tcPr>
            <w:tcW w:w="945" w:type="dxa"/>
            <w:vAlign w:val="center"/>
          </w:tcPr>
          <w:p w:rsidR="00A30FF0" w:rsidRPr="00676990" w:rsidRDefault="00A30FF0" w:rsidP="000F6ADC">
            <w:pPr>
              <w:jc w:val="center"/>
              <w:rPr>
                <w:rFonts w:ascii="Soberana Sans" w:hAnsi="Soberana Sans"/>
                <w:color w:val="000000"/>
                <w:sz w:val="15"/>
                <w:szCs w:val="15"/>
              </w:rPr>
            </w:pPr>
            <w:r w:rsidRPr="00676990">
              <w:rPr>
                <w:rFonts w:ascii="Soberana Sans" w:hAnsi="Soberana Sans"/>
                <w:color w:val="000000"/>
                <w:sz w:val="15"/>
                <w:szCs w:val="15"/>
              </w:rPr>
              <w:t>N/A</w:t>
            </w:r>
          </w:p>
        </w:tc>
        <w:tc>
          <w:tcPr>
            <w:tcW w:w="1105" w:type="dxa"/>
            <w:shd w:val="clear" w:color="auto" w:fill="auto"/>
            <w:vAlign w:val="center"/>
          </w:tcPr>
          <w:p w:rsidR="00A30FF0" w:rsidRPr="00676990" w:rsidRDefault="00A30FF0" w:rsidP="000F6ADC">
            <w:pPr>
              <w:jc w:val="center"/>
              <w:rPr>
                <w:rFonts w:ascii="Soberana Sans" w:hAnsi="Soberana Sans"/>
                <w:color w:val="000000"/>
                <w:sz w:val="15"/>
                <w:szCs w:val="15"/>
              </w:rPr>
            </w:pPr>
            <w:r w:rsidRPr="00676990">
              <w:rPr>
                <w:rFonts w:ascii="Soberana Sans" w:hAnsi="Soberana Sans"/>
                <w:color w:val="000000"/>
                <w:sz w:val="15"/>
                <w:szCs w:val="15"/>
              </w:rPr>
              <w:t>106.9%</w:t>
            </w:r>
          </w:p>
        </w:tc>
        <w:tc>
          <w:tcPr>
            <w:tcW w:w="945" w:type="dxa"/>
            <w:shd w:val="clear" w:color="auto" w:fill="auto"/>
            <w:vAlign w:val="center"/>
          </w:tcPr>
          <w:p w:rsidR="00A30FF0" w:rsidRPr="00676990" w:rsidRDefault="00A30FF0" w:rsidP="000F6ADC">
            <w:pPr>
              <w:jc w:val="center"/>
              <w:rPr>
                <w:rFonts w:ascii="Soberana Sans" w:hAnsi="Soberana Sans"/>
                <w:color w:val="000000"/>
                <w:sz w:val="15"/>
                <w:szCs w:val="15"/>
              </w:rPr>
            </w:pPr>
            <w:r w:rsidRPr="00676990">
              <w:rPr>
                <w:rFonts w:ascii="Soberana Sans" w:hAnsi="Soberana Sans"/>
                <w:color w:val="000000"/>
                <w:sz w:val="15"/>
                <w:szCs w:val="15"/>
              </w:rPr>
              <w:t>108.8%</w:t>
            </w:r>
          </w:p>
        </w:tc>
        <w:tc>
          <w:tcPr>
            <w:tcW w:w="1103" w:type="dxa"/>
            <w:vAlign w:val="center"/>
          </w:tcPr>
          <w:p w:rsidR="00A30FF0" w:rsidRDefault="00A30FF0" w:rsidP="000F6ADC">
            <w:pPr>
              <w:jc w:val="center"/>
              <w:rPr>
                <w:rFonts w:ascii="Soberana Sans" w:hAnsi="Soberana Sans"/>
                <w:color w:val="000000"/>
                <w:sz w:val="15"/>
                <w:szCs w:val="15"/>
              </w:rPr>
            </w:pPr>
            <w:r>
              <w:rPr>
                <w:rFonts w:ascii="Soberana Sans" w:hAnsi="Soberana Sans"/>
                <w:color w:val="000000"/>
                <w:sz w:val="15"/>
                <w:szCs w:val="15"/>
              </w:rPr>
              <w:t>111.0%</w:t>
            </w:r>
          </w:p>
        </w:tc>
        <w:tc>
          <w:tcPr>
            <w:tcW w:w="1103" w:type="dxa"/>
            <w:vAlign w:val="center"/>
          </w:tcPr>
          <w:p w:rsidR="00A30FF0" w:rsidRDefault="00A30FF0" w:rsidP="000F6ADC">
            <w:pPr>
              <w:jc w:val="center"/>
              <w:rPr>
                <w:rFonts w:ascii="Soberana Sans" w:hAnsi="Soberana Sans"/>
                <w:color w:val="000000"/>
                <w:sz w:val="15"/>
                <w:szCs w:val="15"/>
              </w:rPr>
            </w:pPr>
            <w:r>
              <w:rPr>
                <w:rFonts w:ascii="Soberana Sans" w:hAnsi="Soberana Sans"/>
                <w:color w:val="000000"/>
                <w:sz w:val="15"/>
                <w:szCs w:val="15"/>
              </w:rPr>
              <w:t>108.1%</w:t>
            </w:r>
          </w:p>
        </w:tc>
        <w:tc>
          <w:tcPr>
            <w:tcW w:w="1103" w:type="dxa"/>
            <w:shd w:val="clear" w:color="auto" w:fill="auto"/>
            <w:vAlign w:val="center"/>
          </w:tcPr>
          <w:p w:rsidR="00A30FF0" w:rsidRPr="00676990" w:rsidRDefault="00A30FF0" w:rsidP="000F6ADC">
            <w:pPr>
              <w:jc w:val="center"/>
              <w:rPr>
                <w:rFonts w:ascii="Soberana Sans" w:hAnsi="Soberana Sans"/>
                <w:color w:val="000000"/>
                <w:sz w:val="15"/>
                <w:szCs w:val="15"/>
              </w:rPr>
            </w:pPr>
            <w:r>
              <w:rPr>
                <w:rFonts w:ascii="Soberana Sans" w:hAnsi="Soberana Sans"/>
                <w:color w:val="000000"/>
                <w:sz w:val="15"/>
                <w:szCs w:val="15"/>
              </w:rPr>
              <w:t>100%</w:t>
            </w:r>
          </w:p>
        </w:tc>
      </w:tr>
    </w:tbl>
    <w:p w:rsidR="00A30FF0" w:rsidRPr="00B27353" w:rsidRDefault="00A30FF0" w:rsidP="00A30FF0">
      <w:pPr>
        <w:spacing w:after="0" w:line="240" w:lineRule="auto"/>
        <w:rPr>
          <w:lang w:val="es-ES_tradnl"/>
        </w:rPr>
      </w:pPr>
      <w:r w:rsidRPr="00B27353">
        <w:rPr>
          <w:lang w:val="es-ES_tradnl"/>
        </w:rPr>
        <w:t>Nota:</w:t>
      </w:r>
    </w:p>
    <w:p w:rsidR="00A30FF0" w:rsidRDefault="00A30FF0" w:rsidP="00A30FF0">
      <w:pPr>
        <w:spacing w:after="0" w:line="240" w:lineRule="auto"/>
        <w:rPr>
          <w:lang w:val="es-ES_tradnl"/>
        </w:rPr>
      </w:pPr>
      <w:r w:rsidRPr="00B27353">
        <w:rPr>
          <w:lang w:val="es-ES_tradnl"/>
        </w:rPr>
        <w:t>­ NA: No aplica, en tanto que, derivado del año de la línea base y la frecuencia de medición del indicador, no corresponde reportar valor observado del indicador para este año.</w:t>
      </w:r>
    </w:p>
    <w:p w:rsidR="00A30FF0" w:rsidRPr="00676990" w:rsidRDefault="00A30FF0" w:rsidP="00A30FF0">
      <w:pPr>
        <w:rPr>
          <w:lang w:val="es-ES_tradnl"/>
        </w:rPr>
      </w:pPr>
    </w:p>
    <w:p w:rsidR="00A30FF0" w:rsidRDefault="00A30FF0" w:rsidP="00A30FF0">
      <w:pPr>
        <w:pStyle w:val="TITULO5SECCIN"/>
        <w:jc w:val="both"/>
      </w:pPr>
    </w:p>
    <w:p w:rsidR="00A30FF0" w:rsidRDefault="00A30FF0" w:rsidP="00A30FF0"/>
    <w:p w:rsidR="00A30FF0" w:rsidRDefault="00A30FF0" w:rsidP="00A30FF0"/>
    <w:p w:rsidR="00A30FF0" w:rsidRDefault="00A30FF0" w:rsidP="00A30FF0"/>
    <w:p w:rsidR="00A30FF0" w:rsidRDefault="00A30FF0" w:rsidP="00A30FF0">
      <w:pPr>
        <w:sectPr w:rsidR="00A30FF0" w:rsidSect="000F6ADC">
          <w:type w:val="continuous"/>
          <w:pgSz w:w="12240" w:h="15840" w:code="1"/>
          <w:pgMar w:top="2268" w:right="1418" w:bottom="1134" w:left="1418" w:header="0" w:footer="567" w:gutter="0"/>
          <w:cols w:space="454"/>
          <w:docGrid w:linePitch="360"/>
        </w:sectPr>
      </w:pPr>
    </w:p>
    <w:p w:rsidR="00A30FF0" w:rsidRDefault="00A30FF0" w:rsidP="00A30FF0"/>
    <w:p w:rsidR="00A30FF0" w:rsidRDefault="00A30FF0" w:rsidP="00A30FF0"/>
    <w:p w:rsidR="00A30FF0" w:rsidRDefault="00A30FF0" w:rsidP="00A30FF0"/>
    <w:p w:rsidR="00A30FF0" w:rsidRDefault="00A30FF0" w:rsidP="00A30FF0"/>
    <w:p w:rsidR="00A30FF0" w:rsidRDefault="00A30FF0" w:rsidP="00A30FF0"/>
    <w:p w:rsidR="00A30FF0" w:rsidRDefault="00A30FF0" w:rsidP="00A30FF0"/>
    <w:p w:rsidR="00A30FF0" w:rsidRDefault="00A30FF0" w:rsidP="00A30FF0"/>
    <w:p w:rsidR="00A30FF0" w:rsidRDefault="00A30FF0" w:rsidP="00A30FF0"/>
    <w:p w:rsidR="00A30FF0" w:rsidRDefault="00A30FF0" w:rsidP="00A30FF0"/>
    <w:p w:rsidR="00A30FF0" w:rsidRDefault="00A30FF0" w:rsidP="00A30FF0"/>
    <w:p w:rsidR="00A30FF0" w:rsidRDefault="00A30FF0" w:rsidP="00A30FF0"/>
    <w:p w:rsidR="00A30FF0" w:rsidRDefault="00A30FF0" w:rsidP="00A30FF0"/>
    <w:p w:rsidR="00A30FF0" w:rsidRDefault="00A30FF0" w:rsidP="00A30FF0"/>
    <w:p w:rsidR="00A30FF0" w:rsidRDefault="00A30FF0" w:rsidP="00A30FF0"/>
    <w:p w:rsidR="00A30FF0" w:rsidRPr="007F6B4F" w:rsidRDefault="00A30FF0" w:rsidP="00A30FF0">
      <w:pPr>
        <w:sectPr w:rsidR="00A30FF0" w:rsidRPr="007F6B4F" w:rsidSect="000F6ADC">
          <w:type w:val="continuous"/>
          <w:pgSz w:w="12240" w:h="15840" w:code="1"/>
          <w:pgMar w:top="2268" w:right="1418" w:bottom="1134" w:left="1418" w:header="0" w:footer="567" w:gutter="0"/>
          <w:cols w:num="2" w:space="454"/>
          <w:docGrid w:linePitch="360"/>
        </w:sectPr>
      </w:pPr>
    </w:p>
    <w:p w:rsidR="00A30FF0" w:rsidRDefault="00A30FF0" w:rsidP="007B5C08">
      <w:pPr>
        <w:pStyle w:val="TITULO1APARTADO"/>
        <w:jc w:val="center"/>
      </w:pPr>
      <w:r w:rsidRPr="009A7543">
        <w:lastRenderedPageBreak/>
        <w:t>Anexo. Fichas de los indicadores</w:t>
      </w:r>
    </w:p>
    <w:p w:rsidR="003C4DD2" w:rsidRPr="003C4DD2" w:rsidRDefault="003C4DD2" w:rsidP="003C4DD2"/>
    <w:tbl>
      <w:tblPr>
        <w:tblW w:w="9529" w:type="dxa"/>
        <w:tblCellMar>
          <w:left w:w="70" w:type="dxa"/>
          <w:right w:w="70" w:type="dxa"/>
        </w:tblCellMar>
        <w:tblLook w:val="04A0" w:firstRow="1" w:lastRow="0" w:firstColumn="1" w:lastColumn="0" w:noHBand="0" w:noVBand="1"/>
      </w:tblPr>
      <w:tblGrid>
        <w:gridCol w:w="862"/>
        <w:gridCol w:w="1515"/>
        <w:gridCol w:w="1515"/>
        <w:gridCol w:w="1514"/>
        <w:gridCol w:w="1514"/>
        <w:gridCol w:w="1516"/>
        <w:gridCol w:w="1093"/>
      </w:tblGrid>
      <w:tr w:rsidR="00A30FF0" w:rsidRPr="00B31FFC" w:rsidTr="000F6ADC">
        <w:trPr>
          <w:trHeight w:val="177"/>
        </w:trPr>
        <w:tc>
          <w:tcPr>
            <w:tcW w:w="2377" w:type="dxa"/>
            <w:gridSpan w:val="2"/>
            <w:tcBorders>
              <w:top w:val="single" w:sz="12" w:space="0" w:color="808080"/>
              <w:left w:val="single" w:sz="12" w:space="0" w:color="808080"/>
              <w:bottom w:val="nil"/>
              <w:right w:val="single" w:sz="12" w:space="0" w:color="808080"/>
            </w:tcBorders>
            <w:shd w:val="clear" w:color="000000" w:fill="D9D9D9"/>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 </w:t>
            </w:r>
          </w:p>
        </w:tc>
        <w:tc>
          <w:tcPr>
            <w:tcW w:w="7152" w:type="dxa"/>
            <w:gridSpan w:val="5"/>
            <w:vMerge w:val="restart"/>
            <w:tcBorders>
              <w:top w:val="single" w:sz="12" w:space="0" w:color="808080"/>
              <w:left w:val="single" w:sz="12" w:space="0" w:color="808080"/>
              <w:bottom w:val="single" w:sz="12" w:space="0" w:color="808080"/>
              <w:right w:val="single" w:sz="12" w:space="0" w:color="808080"/>
            </w:tcBorders>
            <w:shd w:val="clear" w:color="000000" w:fill="F2F2F2"/>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Incrementar el saldo de financiamiento, mejorando las condiciones a los sectores de atención en primer piso, segundo piso e inducido.</w:t>
            </w:r>
          </w:p>
        </w:tc>
      </w:tr>
      <w:tr w:rsidR="00A30FF0" w:rsidRPr="00B31FFC" w:rsidTr="000F6ADC">
        <w:trPr>
          <w:trHeight w:val="169"/>
        </w:trPr>
        <w:tc>
          <w:tcPr>
            <w:tcW w:w="2377" w:type="dxa"/>
            <w:gridSpan w:val="2"/>
            <w:tcBorders>
              <w:top w:val="nil"/>
              <w:left w:val="single" w:sz="12" w:space="0" w:color="808080"/>
              <w:bottom w:val="nil"/>
              <w:right w:val="single" w:sz="12" w:space="0" w:color="808080"/>
            </w:tcBorders>
            <w:shd w:val="clear" w:color="000000" w:fill="D9D9D9"/>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 xml:space="preserve">Objetivo 1. </w:t>
            </w:r>
          </w:p>
        </w:tc>
        <w:tc>
          <w:tcPr>
            <w:tcW w:w="7152" w:type="dxa"/>
            <w:gridSpan w:val="5"/>
            <w:vMerge/>
            <w:tcBorders>
              <w:top w:val="single" w:sz="12" w:space="0" w:color="808080"/>
              <w:left w:val="single" w:sz="12" w:space="0" w:color="808080"/>
              <w:bottom w:val="single" w:sz="12" w:space="0" w:color="808080"/>
              <w:right w:val="single" w:sz="12" w:space="0" w:color="808080"/>
            </w:tcBorders>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p>
        </w:tc>
      </w:tr>
      <w:tr w:rsidR="00A30FF0" w:rsidRPr="00B31FFC" w:rsidTr="000F6ADC">
        <w:trPr>
          <w:trHeight w:val="177"/>
        </w:trPr>
        <w:tc>
          <w:tcPr>
            <w:tcW w:w="2377" w:type="dxa"/>
            <w:gridSpan w:val="2"/>
            <w:tcBorders>
              <w:top w:val="nil"/>
              <w:left w:val="single" w:sz="12" w:space="0" w:color="808080"/>
              <w:bottom w:val="single" w:sz="12" w:space="0" w:color="808080"/>
              <w:right w:val="single" w:sz="12" w:space="0" w:color="808080"/>
            </w:tcBorders>
            <w:shd w:val="clear" w:color="000000" w:fill="D9D9D9"/>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 </w:t>
            </w:r>
          </w:p>
        </w:tc>
        <w:tc>
          <w:tcPr>
            <w:tcW w:w="7152" w:type="dxa"/>
            <w:gridSpan w:val="5"/>
            <w:vMerge/>
            <w:tcBorders>
              <w:top w:val="single" w:sz="12" w:space="0" w:color="808080"/>
              <w:left w:val="single" w:sz="12" w:space="0" w:color="808080"/>
              <w:bottom w:val="single" w:sz="12" w:space="0" w:color="808080"/>
              <w:right w:val="single" w:sz="12" w:space="0" w:color="808080"/>
            </w:tcBorders>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p>
        </w:tc>
      </w:tr>
      <w:tr w:rsidR="00A30FF0" w:rsidRPr="00B31FFC" w:rsidTr="000F6ADC">
        <w:trPr>
          <w:trHeight w:val="177"/>
        </w:trPr>
        <w:tc>
          <w:tcPr>
            <w:tcW w:w="2377" w:type="dxa"/>
            <w:gridSpan w:val="2"/>
            <w:tcBorders>
              <w:top w:val="single" w:sz="12" w:space="0" w:color="808080"/>
              <w:left w:val="single" w:sz="12" w:space="0" w:color="808080"/>
              <w:bottom w:val="nil"/>
              <w:right w:val="single" w:sz="12" w:space="0" w:color="808080"/>
            </w:tcBorders>
            <w:shd w:val="clear" w:color="000000" w:fill="D9D9D9"/>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 </w:t>
            </w:r>
          </w:p>
        </w:tc>
        <w:tc>
          <w:tcPr>
            <w:tcW w:w="7152" w:type="dxa"/>
            <w:gridSpan w:val="5"/>
            <w:vMerge w:val="restart"/>
            <w:tcBorders>
              <w:top w:val="single" w:sz="12" w:space="0" w:color="808080"/>
              <w:left w:val="single" w:sz="12" w:space="0" w:color="808080"/>
              <w:bottom w:val="single" w:sz="12" w:space="0" w:color="808080"/>
              <w:right w:val="single" w:sz="12" w:space="0" w:color="808080"/>
            </w:tcBorders>
            <w:shd w:val="clear" w:color="000000" w:fill="F2F2F2"/>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Saldo de cartera al cierre de cada ejercicio.</w:t>
            </w:r>
          </w:p>
        </w:tc>
      </w:tr>
      <w:tr w:rsidR="00A30FF0" w:rsidRPr="00B31FFC" w:rsidTr="000F6ADC">
        <w:trPr>
          <w:trHeight w:val="169"/>
        </w:trPr>
        <w:tc>
          <w:tcPr>
            <w:tcW w:w="2377" w:type="dxa"/>
            <w:gridSpan w:val="2"/>
            <w:tcBorders>
              <w:top w:val="nil"/>
              <w:left w:val="single" w:sz="12" w:space="0" w:color="808080"/>
              <w:bottom w:val="nil"/>
              <w:right w:val="single" w:sz="12" w:space="0" w:color="808080"/>
            </w:tcBorders>
            <w:shd w:val="clear" w:color="000000" w:fill="D9D9D9"/>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Nombre del indicador</w:t>
            </w:r>
          </w:p>
        </w:tc>
        <w:tc>
          <w:tcPr>
            <w:tcW w:w="7152" w:type="dxa"/>
            <w:gridSpan w:val="5"/>
            <w:vMerge/>
            <w:tcBorders>
              <w:top w:val="single" w:sz="12" w:space="0" w:color="808080"/>
              <w:left w:val="single" w:sz="12" w:space="0" w:color="808080"/>
              <w:bottom w:val="single" w:sz="12" w:space="0" w:color="808080"/>
              <w:right w:val="single" w:sz="12" w:space="0" w:color="808080"/>
            </w:tcBorders>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p>
        </w:tc>
      </w:tr>
      <w:tr w:rsidR="00A30FF0" w:rsidRPr="00B31FFC" w:rsidTr="000F6ADC">
        <w:trPr>
          <w:trHeight w:val="177"/>
        </w:trPr>
        <w:tc>
          <w:tcPr>
            <w:tcW w:w="2377" w:type="dxa"/>
            <w:gridSpan w:val="2"/>
            <w:tcBorders>
              <w:top w:val="nil"/>
              <w:left w:val="single" w:sz="12" w:space="0" w:color="808080"/>
              <w:bottom w:val="single" w:sz="12" w:space="0" w:color="808080"/>
              <w:right w:val="single" w:sz="12" w:space="0" w:color="808080"/>
            </w:tcBorders>
            <w:shd w:val="clear" w:color="000000" w:fill="D9D9D9"/>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 </w:t>
            </w:r>
          </w:p>
        </w:tc>
        <w:tc>
          <w:tcPr>
            <w:tcW w:w="7152" w:type="dxa"/>
            <w:gridSpan w:val="5"/>
            <w:vMerge/>
            <w:tcBorders>
              <w:top w:val="single" w:sz="12" w:space="0" w:color="808080"/>
              <w:left w:val="single" w:sz="12" w:space="0" w:color="808080"/>
              <w:bottom w:val="single" w:sz="12" w:space="0" w:color="808080"/>
              <w:right w:val="single" w:sz="12" w:space="0" w:color="808080"/>
            </w:tcBorders>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p>
        </w:tc>
      </w:tr>
      <w:tr w:rsidR="00A30FF0" w:rsidRPr="00B31FFC" w:rsidTr="000F6ADC">
        <w:trPr>
          <w:trHeight w:val="177"/>
        </w:trPr>
        <w:tc>
          <w:tcPr>
            <w:tcW w:w="2377" w:type="dxa"/>
            <w:gridSpan w:val="2"/>
            <w:tcBorders>
              <w:top w:val="single" w:sz="12" w:space="0" w:color="808080"/>
              <w:left w:val="single" w:sz="12" w:space="0" w:color="808080"/>
              <w:bottom w:val="nil"/>
              <w:right w:val="single" w:sz="12" w:space="0" w:color="808080"/>
            </w:tcBorders>
            <w:shd w:val="clear" w:color="000000" w:fill="D9D9D9"/>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 </w:t>
            </w:r>
          </w:p>
        </w:tc>
        <w:tc>
          <w:tcPr>
            <w:tcW w:w="7152" w:type="dxa"/>
            <w:gridSpan w:val="5"/>
            <w:vMerge w:val="restart"/>
            <w:tcBorders>
              <w:top w:val="single" w:sz="12" w:space="0" w:color="808080"/>
              <w:left w:val="single" w:sz="12" w:space="0" w:color="808080"/>
              <w:bottom w:val="single" w:sz="12" w:space="0" w:color="808080"/>
              <w:right w:val="single" w:sz="12" w:space="0" w:color="808080"/>
            </w:tcBorders>
            <w:shd w:val="clear" w:color="000000" w:fill="F2F2F2"/>
            <w:vAlign w:val="center"/>
            <w:hideMark/>
          </w:tcPr>
          <w:p w:rsidR="00A30FF0" w:rsidRPr="00B31FFC" w:rsidRDefault="00A17DD7" w:rsidP="000F6ADC">
            <w:pPr>
              <w:spacing w:after="0" w:line="240" w:lineRule="auto"/>
              <w:rPr>
                <w:rFonts w:ascii="Soberana Sans" w:eastAsia="Times New Roman" w:hAnsi="Soberana Sans" w:cs="Calibri"/>
                <w:color w:val="000000"/>
                <w:szCs w:val="17"/>
                <w:lang w:eastAsia="es-MX"/>
              </w:rPr>
            </w:pPr>
            <w:r>
              <w:rPr>
                <w:rFonts w:ascii="Soberana Sans" w:eastAsia="Times New Roman" w:hAnsi="Soberana Sans" w:cs="Calibri"/>
                <w:color w:val="000000"/>
                <w:szCs w:val="17"/>
                <w:lang w:eastAsia="es-MX"/>
              </w:rPr>
              <w:t>Informe de Autoevaluación.</w:t>
            </w:r>
            <w:r w:rsidR="00A30FF0" w:rsidRPr="00B31FFC">
              <w:rPr>
                <w:rFonts w:ascii="Soberana Sans" w:eastAsia="Times New Roman" w:hAnsi="Soberana Sans" w:cs="Calibri"/>
                <w:color w:val="000000"/>
                <w:szCs w:val="17"/>
                <w:lang w:eastAsia="es-MX"/>
              </w:rPr>
              <w:t xml:space="preserve"> </w:t>
            </w:r>
          </w:p>
        </w:tc>
      </w:tr>
      <w:tr w:rsidR="00A30FF0" w:rsidRPr="00B31FFC" w:rsidTr="000F6ADC">
        <w:trPr>
          <w:trHeight w:val="254"/>
        </w:trPr>
        <w:tc>
          <w:tcPr>
            <w:tcW w:w="2377" w:type="dxa"/>
            <w:gridSpan w:val="2"/>
            <w:tcBorders>
              <w:top w:val="nil"/>
              <w:left w:val="single" w:sz="12" w:space="0" w:color="808080"/>
              <w:bottom w:val="nil"/>
              <w:right w:val="single" w:sz="12" w:space="0" w:color="808080"/>
            </w:tcBorders>
            <w:shd w:val="clear" w:color="000000" w:fill="D9D9D9"/>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Fuente de información o medio de verificación</w:t>
            </w:r>
          </w:p>
        </w:tc>
        <w:tc>
          <w:tcPr>
            <w:tcW w:w="7152" w:type="dxa"/>
            <w:gridSpan w:val="5"/>
            <w:vMerge/>
            <w:tcBorders>
              <w:top w:val="single" w:sz="12" w:space="0" w:color="808080"/>
              <w:left w:val="single" w:sz="12" w:space="0" w:color="808080"/>
              <w:bottom w:val="single" w:sz="12" w:space="0" w:color="808080"/>
              <w:right w:val="single" w:sz="12" w:space="0" w:color="808080"/>
            </w:tcBorders>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p>
        </w:tc>
      </w:tr>
      <w:tr w:rsidR="00A30FF0" w:rsidRPr="00B31FFC" w:rsidTr="000F6ADC">
        <w:trPr>
          <w:trHeight w:val="177"/>
        </w:trPr>
        <w:tc>
          <w:tcPr>
            <w:tcW w:w="2377" w:type="dxa"/>
            <w:gridSpan w:val="2"/>
            <w:tcBorders>
              <w:top w:val="nil"/>
              <w:left w:val="single" w:sz="12" w:space="0" w:color="808080"/>
              <w:bottom w:val="single" w:sz="12" w:space="0" w:color="808080"/>
              <w:right w:val="single" w:sz="12" w:space="0" w:color="808080"/>
            </w:tcBorders>
            <w:shd w:val="clear" w:color="000000" w:fill="D9D9D9"/>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 </w:t>
            </w:r>
          </w:p>
        </w:tc>
        <w:tc>
          <w:tcPr>
            <w:tcW w:w="7152" w:type="dxa"/>
            <w:gridSpan w:val="5"/>
            <w:vMerge/>
            <w:tcBorders>
              <w:top w:val="single" w:sz="12" w:space="0" w:color="808080"/>
              <w:left w:val="single" w:sz="12" w:space="0" w:color="808080"/>
              <w:bottom w:val="single" w:sz="12" w:space="0" w:color="808080"/>
              <w:right w:val="single" w:sz="12" w:space="0" w:color="808080"/>
            </w:tcBorders>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p>
        </w:tc>
      </w:tr>
      <w:tr w:rsidR="00A30FF0" w:rsidRPr="00B31FFC" w:rsidTr="000F6ADC">
        <w:trPr>
          <w:trHeight w:val="381"/>
        </w:trPr>
        <w:tc>
          <w:tcPr>
            <w:tcW w:w="2377" w:type="dxa"/>
            <w:gridSpan w:val="2"/>
            <w:tcBorders>
              <w:top w:val="single" w:sz="12" w:space="0" w:color="808080"/>
              <w:left w:val="single" w:sz="12" w:space="0" w:color="808080"/>
              <w:bottom w:val="single" w:sz="12" w:space="0" w:color="808080"/>
              <w:right w:val="single" w:sz="12" w:space="0" w:color="808080"/>
            </w:tcBorders>
            <w:shd w:val="clear" w:color="000000" w:fill="D9D9D9"/>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Dirección electrónica donde puede verificarse el valor del indicador</w:t>
            </w:r>
          </w:p>
        </w:tc>
        <w:tc>
          <w:tcPr>
            <w:tcW w:w="7152" w:type="dxa"/>
            <w:gridSpan w:val="5"/>
            <w:tcBorders>
              <w:top w:val="single" w:sz="12" w:space="0" w:color="808080"/>
              <w:left w:val="nil"/>
              <w:bottom w:val="single" w:sz="12" w:space="0" w:color="808080"/>
              <w:right w:val="single" w:sz="12" w:space="0" w:color="808080"/>
            </w:tcBorders>
            <w:shd w:val="clear" w:color="000000" w:fill="F2F2F2"/>
            <w:vAlign w:val="center"/>
            <w:hideMark/>
          </w:tcPr>
          <w:p w:rsidR="00A30FF0" w:rsidRPr="00B31FFC" w:rsidRDefault="00D45EA0" w:rsidP="000F6ADC">
            <w:pPr>
              <w:spacing w:after="0" w:line="240" w:lineRule="auto"/>
              <w:rPr>
                <w:rFonts w:ascii="Calibri" w:eastAsia="Times New Roman" w:hAnsi="Calibri" w:cs="Calibri"/>
                <w:color w:val="0563C1"/>
                <w:sz w:val="22"/>
                <w:u w:val="single"/>
                <w:lang w:eastAsia="es-MX"/>
              </w:rPr>
            </w:pPr>
            <w:hyperlink r:id="rId20" w:history="1">
              <w:r w:rsidR="00A30FF0" w:rsidRPr="00B31FFC">
                <w:rPr>
                  <w:rFonts w:ascii="Soberana Sans" w:eastAsia="Times New Roman" w:hAnsi="Soberana Sans" w:cs="Calibri"/>
                  <w:color w:val="000000"/>
                  <w:szCs w:val="17"/>
                  <w:lang w:eastAsia="es-MX"/>
                </w:rPr>
                <w:t>www.gob.mx/fnd</w:t>
              </w:r>
            </w:hyperlink>
          </w:p>
        </w:tc>
      </w:tr>
      <w:tr w:rsidR="00A30FF0" w:rsidRPr="00B31FFC" w:rsidTr="000F6ADC">
        <w:trPr>
          <w:trHeight w:val="321"/>
        </w:trPr>
        <w:tc>
          <w:tcPr>
            <w:tcW w:w="862" w:type="dxa"/>
            <w:tcBorders>
              <w:top w:val="nil"/>
              <w:left w:val="single" w:sz="12" w:space="0" w:color="808080"/>
              <w:bottom w:val="single" w:sz="12" w:space="0" w:color="808080"/>
              <w:right w:val="single" w:sz="12" w:space="0" w:color="808080"/>
            </w:tcBorders>
            <w:shd w:val="clear" w:color="000000" w:fill="D9D9D9"/>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 xml:space="preserve">Línea base </w:t>
            </w:r>
          </w:p>
        </w:tc>
        <w:tc>
          <w:tcPr>
            <w:tcW w:w="1514" w:type="dxa"/>
            <w:vMerge w:val="restart"/>
            <w:tcBorders>
              <w:top w:val="nil"/>
              <w:left w:val="single" w:sz="12" w:space="0" w:color="808080"/>
              <w:bottom w:val="single" w:sz="12" w:space="0" w:color="808080"/>
              <w:right w:val="single" w:sz="12" w:space="0" w:color="808080"/>
            </w:tcBorders>
            <w:shd w:val="clear" w:color="000000" w:fill="D9D9D9"/>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Valor observado del indicador en 2013</w:t>
            </w:r>
          </w:p>
        </w:tc>
        <w:tc>
          <w:tcPr>
            <w:tcW w:w="1514" w:type="dxa"/>
            <w:vMerge w:val="restart"/>
            <w:tcBorders>
              <w:top w:val="nil"/>
              <w:left w:val="single" w:sz="12" w:space="0" w:color="808080"/>
              <w:bottom w:val="single" w:sz="12" w:space="0" w:color="808080"/>
              <w:right w:val="single" w:sz="12" w:space="0" w:color="808080"/>
            </w:tcBorders>
            <w:shd w:val="clear" w:color="000000" w:fill="D9D9D9"/>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Valor observado del indicador en 2014</w:t>
            </w:r>
          </w:p>
        </w:tc>
        <w:tc>
          <w:tcPr>
            <w:tcW w:w="1514" w:type="dxa"/>
            <w:vMerge w:val="restart"/>
            <w:tcBorders>
              <w:top w:val="nil"/>
              <w:left w:val="single" w:sz="12" w:space="0" w:color="808080"/>
              <w:bottom w:val="single" w:sz="12" w:space="0" w:color="808080"/>
              <w:right w:val="single" w:sz="12" w:space="0" w:color="808080"/>
            </w:tcBorders>
            <w:shd w:val="clear" w:color="000000" w:fill="D9D9D9"/>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Valor observado del indicador en 2015</w:t>
            </w:r>
          </w:p>
        </w:tc>
        <w:tc>
          <w:tcPr>
            <w:tcW w:w="1514" w:type="dxa"/>
            <w:vMerge w:val="restart"/>
            <w:tcBorders>
              <w:top w:val="nil"/>
              <w:left w:val="single" w:sz="12" w:space="0" w:color="808080"/>
              <w:bottom w:val="single" w:sz="12" w:space="0" w:color="808080"/>
              <w:right w:val="single" w:sz="12" w:space="0" w:color="808080"/>
            </w:tcBorders>
            <w:shd w:val="clear" w:color="000000" w:fill="D9D9D9"/>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Valor observado del indicador en 2016</w:t>
            </w:r>
          </w:p>
        </w:tc>
        <w:tc>
          <w:tcPr>
            <w:tcW w:w="1514" w:type="dxa"/>
            <w:vMerge w:val="restart"/>
            <w:tcBorders>
              <w:top w:val="nil"/>
              <w:left w:val="single" w:sz="12" w:space="0" w:color="808080"/>
              <w:bottom w:val="single" w:sz="12" w:space="0" w:color="808080"/>
              <w:right w:val="single" w:sz="12" w:space="0" w:color="808080"/>
            </w:tcBorders>
            <w:shd w:val="clear" w:color="000000" w:fill="D9D9D9"/>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Valor observado del indicador en 2017</w:t>
            </w:r>
          </w:p>
        </w:tc>
        <w:tc>
          <w:tcPr>
            <w:tcW w:w="1093" w:type="dxa"/>
            <w:vMerge w:val="restart"/>
            <w:tcBorders>
              <w:top w:val="nil"/>
              <w:left w:val="single" w:sz="12" w:space="0" w:color="808080"/>
              <w:bottom w:val="single" w:sz="12" w:space="0" w:color="808080"/>
              <w:right w:val="single" w:sz="12" w:space="0" w:color="808080"/>
            </w:tcBorders>
            <w:shd w:val="clear" w:color="000000" w:fill="D9D9D9"/>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Meta 2018</w:t>
            </w:r>
          </w:p>
        </w:tc>
      </w:tr>
      <w:tr w:rsidR="00A30FF0" w:rsidRPr="00B31FFC" w:rsidTr="000F6ADC">
        <w:trPr>
          <w:trHeight w:val="186"/>
        </w:trPr>
        <w:tc>
          <w:tcPr>
            <w:tcW w:w="862" w:type="dxa"/>
            <w:tcBorders>
              <w:top w:val="nil"/>
              <w:left w:val="single" w:sz="12" w:space="0" w:color="808080"/>
              <w:bottom w:val="single" w:sz="12" w:space="0" w:color="808080"/>
              <w:right w:val="single" w:sz="12" w:space="0" w:color="808080"/>
            </w:tcBorders>
            <w:shd w:val="clear" w:color="000000" w:fill="F2F2F2"/>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2013</w:t>
            </w:r>
          </w:p>
        </w:tc>
        <w:tc>
          <w:tcPr>
            <w:tcW w:w="1514" w:type="dxa"/>
            <w:vMerge/>
            <w:tcBorders>
              <w:top w:val="nil"/>
              <w:left w:val="single" w:sz="12" w:space="0" w:color="808080"/>
              <w:bottom w:val="single" w:sz="12" w:space="0" w:color="808080"/>
              <w:right w:val="single" w:sz="12" w:space="0" w:color="808080"/>
            </w:tcBorders>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p>
        </w:tc>
        <w:tc>
          <w:tcPr>
            <w:tcW w:w="1514" w:type="dxa"/>
            <w:vMerge/>
            <w:tcBorders>
              <w:top w:val="nil"/>
              <w:left w:val="single" w:sz="12" w:space="0" w:color="808080"/>
              <w:bottom w:val="single" w:sz="12" w:space="0" w:color="808080"/>
              <w:right w:val="single" w:sz="12" w:space="0" w:color="808080"/>
            </w:tcBorders>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p>
        </w:tc>
        <w:tc>
          <w:tcPr>
            <w:tcW w:w="1514" w:type="dxa"/>
            <w:vMerge/>
            <w:tcBorders>
              <w:top w:val="nil"/>
              <w:left w:val="single" w:sz="12" w:space="0" w:color="808080"/>
              <w:bottom w:val="single" w:sz="12" w:space="0" w:color="808080"/>
              <w:right w:val="single" w:sz="12" w:space="0" w:color="808080"/>
            </w:tcBorders>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p>
        </w:tc>
        <w:tc>
          <w:tcPr>
            <w:tcW w:w="1514" w:type="dxa"/>
            <w:vMerge/>
            <w:tcBorders>
              <w:top w:val="nil"/>
              <w:left w:val="single" w:sz="12" w:space="0" w:color="808080"/>
              <w:bottom w:val="single" w:sz="12" w:space="0" w:color="808080"/>
              <w:right w:val="single" w:sz="12" w:space="0" w:color="808080"/>
            </w:tcBorders>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p>
        </w:tc>
        <w:tc>
          <w:tcPr>
            <w:tcW w:w="1514" w:type="dxa"/>
            <w:vMerge/>
            <w:tcBorders>
              <w:top w:val="nil"/>
              <w:left w:val="single" w:sz="12" w:space="0" w:color="808080"/>
              <w:bottom w:val="single" w:sz="12" w:space="0" w:color="808080"/>
              <w:right w:val="single" w:sz="12" w:space="0" w:color="808080"/>
            </w:tcBorders>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p>
        </w:tc>
        <w:tc>
          <w:tcPr>
            <w:tcW w:w="1093" w:type="dxa"/>
            <w:vMerge/>
            <w:tcBorders>
              <w:top w:val="nil"/>
              <w:left w:val="single" w:sz="12" w:space="0" w:color="808080"/>
              <w:bottom w:val="single" w:sz="12" w:space="0" w:color="808080"/>
              <w:right w:val="single" w:sz="12" w:space="0" w:color="808080"/>
            </w:tcBorders>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p>
        </w:tc>
      </w:tr>
      <w:tr w:rsidR="00A30FF0" w:rsidRPr="00B31FFC" w:rsidTr="000F6ADC">
        <w:trPr>
          <w:trHeight w:val="215"/>
        </w:trPr>
        <w:tc>
          <w:tcPr>
            <w:tcW w:w="862" w:type="dxa"/>
            <w:vMerge w:val="restart"/>
            <w:tcBorders>
              <w:top w:val="nil"/>
              <w:left w:val="single" w:sz="12" w:space="0" w:color="808080"/>
              <w:bottom w:val="single" w:sz="12" w:space="0" w:color="808080"/>
              <w:right w:val="single" w:sz="12" w:space="0" w:color="808080"/>
            </w:tcBorders>
            <w:shd w:val="clear" w:color="000000" w:fill="F2F2F2"/>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 xml:space="preserve">      26,421 </w:t>
            </w:r>
          </w:p>
        </w:tc>
        <w:tc>
          <w:tcPr>
            <w:tcW w:w="1514" w:type="dxa"/>
            <w:vMerge w:val="restart"/>
            <w:tcBorders>
              <w:top w:val="nil"/>
              <w:left w:val="single" w:sz="12" w:space="0" w:color="808080"/>
              <w:bottom w:val="single" w:sz="12" w:space="0" w:color="808080"/>
              <w:right w:val="single" w:sz="12" w:space="0" w:color="808080"/>
            </w:tcBorders>
            <w:shd w:val="clear" w:color="000000" w:fill="F2F2F2"/>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 xml:space="preserve"> N/A </w:t>
            </w:r>
          </w:p>
        </w:tc>
        <w:tc>
          <w:tcPr>
            <w:tcW w:w="1514" w:type="dxa"/>
            <w:vMerge w:val="restart"/>
            <w:tcBorders>
              <w:top w:val="nil"/>
              <w:left w:val="single" w:sz="12" w:space="0" w:color="808080"/>
              <w:bottom w:val="single" w:sz="12" w:space="0" w:color="808080"/>
              <w:right w:val="single" w:sz="12" w:space="0" w:color="808080"/>
            </w:tcBorders>
            <w:shd w:val="clear" w:color="000000" w:fill="F2F2F2"/>
            <w:vAlign w:val="center"/>
            <w:hideMark/>
          </w:tcPr>
          <w:p w:rsidR="00A30FF0" w:rsidRPr="00B31FFC" w:rsidRDefault="00A30FF0" w:rsidP="00590A31">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33,518</w:t>
            </w:r>
          </w:p>
        </w:tc>
        <w:tc>
          <w:tcPr>
            <w:tcW w:w="1514" w:type="dxa"/>
            <w:vMerge w:val="restart"/>
            <w:tcBorders>
              <w:top w:val="nil"/>
              <w:left w:val="single" w:sz="12" w:space="0" w:color="808080"/>
              <w:bottom w:val="single" w:sz="12" w:space="0" w:color="808080"/>
              <w:right w:val="single" w:sz="12" w:space="0" w:color="808080"/>
            </w:tcBorders>
            <w:shd w:val="clear" w:color="000000" w:fill="F2F2F2"/>
            <w:vAlign w:val="center"/>
            <w:hideMark/>
          </w:tcPr>
          <w:p w:rsidR="00A30FF0" w:rsidRPr="00B31FFC" w:rsidRDefault="00A30FF0" w:rsidP="00590A31">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41,365</w:t>
            </w:r>
          </w:p>
        </w:tc>
        <w:tc>
          <w:tcPr>
            <w:tcW w:w="1514" w:type="dxa"/>
            <w:vMerge w:val="restart"/>
            <w:tcBorders>
              <w:top w:val="nil"/>
              <w:left w:val="single" w:sz="12" w:space="0" w:color="808080"/>
              <w:bottom w:val="single" w:sz="12" w:space="0" w:color="808080"/>
              <w:right w:val="single" w:sz="12" w:space="0" w:color="808080"/>
            </w:tcBorders>
            <w:shd w:val="clear" w:color="000000" w:fill="F2F2F2"/>
            <w:vAlign w:val="center"/>
            <w:hideMark/>
          </w:tcPr>
          <w:p w:rsidR="00A30FF0" w:rsidRPr="00B31FFC" w:rsidRDefault="00A30FF0" w:rsidP="00590A31">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50,610.0</w:t>
            </w:r>
          </w:p>
        </w:tc>
        <w:tc>
          <w:tcPr>
            <w:tcW w:w="1514" w:type="dxa"/>
            <w:vMerge w:val="restart"/>
            <w:tcBorders>
              <w:top w:val="nil"/>
              <w:left w:val="single" w:sz="12" w:space="0" w:color="808080"/>
              <w:bottom w:val="single" w:sz="12" w:space="0" w:color="808080"/>
              <w:right w:val="single" w:sz="12" w:space="0" w:color="808080"/>
            </w:tcBorders>
            <w:shd w:val="clear" w:color="000000" w:fill="F2F2F2"/>
            <w:vAlign w:val="center"/>
            <w:hideMark/>
          </w:tcPr>
          <w:p w:rsidR="00A30FF0" w:rsidRPr="00B31FFC" w:rsidRDefault="00A30FF0" w:rsidP="00590A31">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58,016.4</w:t>
            </w:r>
          </w:p>
        </w:tc>
        <w:tc>
          <w:tcPr>
            <w:tcW w:w="1093" w:type="dxa"/>
            <w:vMerge w:val="restart"/>
            <w:tcBorders>
              <w:top w:val="nil"/>
              <w:left w:val="single" w:sz="12" w:space="0" w:color="808080"/>
              <w:bottom w:val="single" w:sz="12" w:space="0" w:color="808080"/>
              <w:right w:val="single" w:sz="12" w:space="0" w:color="808080"/>
            </w:tcBorders>
            <w:shd w:val="clear" w:color="000000" w:fill="F2F2F2"/>
            <w:vAlign w:val="center"/>
            <w:hideMark/>
          </w:tcPr>
          <w:p w:rsidR="00A30FF0" w:rsidRPr="00B31FFC" w:rsidRDefault="00A30FF0" w:rsidP="00590A31">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50,000</w:t>
            </w:r>
          </w:p>
        </w:tc>
      </w:tr>
      <w:tr w:rsidR="00A30FF0" w:rsidRPr="00B31FFC" w:rsidTr="000F6ADC">
        <w:trPr>
          <w:trHeight w:val="315"/>
        </w:trPr>
        <w:tc>
          <w:tcPr>
            <w:tcW w:w="862" w:type="dxa"/>
            <w:vMerge/>
            <w:tcBorders>
              <w:top w:val="nil"/>
              <w:left w:val="single" w:sz="12" w:space="0" w:color="808080"/>
              <w:bottom w:val="single" w:sz="12" w:space="0" w:color="808080"/>
              <w:right w:val="single" w:sz="12" w:space="0" w:color="808080"/>
            </w:tcBorders>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p>
        </w:tc>
        <w:tc>
          <w:tcPr>
            <w:tcW w:w="1514" w:type="dxa"/>
            <w:vMerge/>
            <w:tcBorders>
              <w:top w:val="nil"/>
              <w:left w:val="single" w:sz="12" w:space="0" w:color="808080"/>
              <w:bottom w:val="single" w:sz="12" w:space="0" w:color="808080"/>
              <w:right w:val="single" w:sz="12" w:space="0" w:color="808080"/>
            </w:tcBorders>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p>
        </w:tc>
        <w:tc>
          <w:tcPr>
            <w:tcW w:w="1514" w:type="dxa"/>
            <w:vMerge/>
            <w:tcBorders>
              <w:top w:val="nil"/>
              <w:left w:val="single" w:sz="12" w:space="0" w:color="808080"/>
              <w:bottom w:val="single" w:sz="12" w:space="0" w:color="808080"/>
              <w:right w:val="single" w:sz="12" w:space="0" w:color="808080"/>
            </w:tcBorders>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p>
        </w:tc>
        <w:tc>
          <w:tcPr>
            <w:tcW w:w="1514" w:type="dxa"/>
            <w:vMerge/>
            <w:tcBorders>
              <w:top w:val="nil"/>
              <w:left w:val="single" w:sz="12" w:space="0" w:color="808080"/>
              <w:bottom w:val="single" w:sz="12" w:space="0" w:color="808080"/>
              <w:right w:val="single" w:sz="12" w:space="0" w:color="808080"/>
            </w:tcBorders>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p>
        </w:tc>
        <w:tc>
          <w:tcPr>
            <w:tcW w:w="1514" w:type="dxa"/>
            <w:vMerge/>
            <w:tcBorders>
              <w:top w:val="nil"/>
              <w:left w:val="single" w:sz="12" w:space="0" w:color="808080"/>
              <w:bottom w:val="single" w:sz="12" w:space="0" w:color="808080"/>
              <w:right w:val="single" w:sz="12" w:space="0" w:color="808080"/>
            </w:tcBorders>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p>
        </w:tc>
        <w:tc>
          <w:tcPr>
            <w:tcW w:w="1514" w:type="dxa"/>
            <w:vMerge/>
            <w:tcBorders>
              <w:top w:val="nil"/>
              <w:left w:val="single" w:sz="12" w:space="0" w:color="808080"/>
              <w:bottom w:val="single" w:sz="12" w:space="0" w:color="808080"/>
              <w:right w:val="single" w:sz="12" w:space="0" w:color="808080"/>
            </w:tcBorders>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p>
        </w:tc>
        <w:tc>
          <w:tcPr>
            <w:tcW w:w="1093" w:type="dxa"/>
            <w:vMerge/>
            <w:tcBorders>
              <w:top w:val="nil"/>
              <w:left w:val="single" w:sz="12" w:space="0" w:color="808080"/>
              <w:bottom w:val="single" w:sz="12" w:space="0" w:color="808080"/>
              <w:right w:val="single" w:sz="12" w:space="0" w:color="808080"/>
            </w:tcBorders>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p>
        </w:tc>
      </w:tr>
      <w:tr w:rsidR="00A30FF0" w:rsidRPr="00B31FFC" w:rsidTr="000F6ADC">
        <w:trPr>
          <w:trHeight w:val="270"/>
        </w:trPr>
        <w:tc>
          <w:tcPr>
            <w:tcW w:w="3892" w:type="dxa"/>
            <w:gridSpan w:val="3"/>
            <w:tcBorders>
              <w:top w:val="single" w:sz="12" w:space="0" w:color="808080"/>
              <w:left w:val="single" w:sz="12" w:space="0" w:color="808080"/>
              <w:bottom w:val="single" w:sz="12" w:space="0" w:color="808080"/>
              <w:right w:val="single" w:sz="12" w:space="0" w:color="808080"/>
            </w:tcBorders>
            <w:shd w:val="clear" w:color="000000" w:fill="D9D9D9"/>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Método de cálculo</w:t>
            </w:r>
          </w:p>
        </w:tc>
        <w:tc>
          <w:tcPr>
            <w:tcW w:w="4544" w:type="dxa"/>
            <w:gridSpan w:val="3"/>
            <w:tcBorders>
              <w:top w:val="single" w:sz="12" w:space="0" w:color="808080"/>
              <w:left w:val="nil"/>
              <w:bottom w:val="single" w:sz="12" w:space="0" w:color="808080"/>
              <w:right w:val="single" w:sz="12" w:space="0" w:color="808080"/>
            </w:tcBorders>
            <w:shd w:val="clear" w:color="000000" w:fill="D9D9D9"/>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Unidad de Medida</w:t>
            </w:r>
          </w:p>
        </w:tc>
        <w:tc>
          <w:tcPr>
            <w:tcW w:w="1093" w:type="dxa"/>
            <w:tcBorders>
              <w:top w:val="nil"/>
              <w:left w:val="nil"/>
              <w:bottom w:val="single" w:sz="12" w:space="0" w:color="808080"/>
              <w:right w:val="single" w:sz="12" w:space="0" w:color="808080"/>
            </w:tcBorders>
            <w:shd w:val="clear" w:color="000000" w:fill="D9D9D9"/>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Frecuencia de medición</w:t>
            </w:r>
          </w:p>
        </w:tc>
      </w:tr>
      <w:tr w:rsidR="00A30FF0" w:rsidRPr="00B31FFC" w:rsidTr="000F6ADC">
        <w:trPr>
          <w:trHeight w:val="668"/>
        </w:trPr>
        <w:tc>
          <w:tcPr>
            <w:tcW w:w="3892" w:type="dxa"/>
            <w:gridSpan w:val="3"/>
            <w:tcBorders>
              <w:top w:val="single" w:sz="12" w:space="0" w:color="808080"/>
              <w:left w:val="single" w:sz="12" w:space="0" w:color="808080"/>
              <w:bottom w:val="single" w:sz="12" w:space="0" w:color="808080"/>
              <w:right w:val="single" w:sz="12" w:space="0" w:color="808080"/>
            </w:tcBorders>
            <w:shd w:val="clear" w:color="000000" w:fill="F2F2F2"/>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Total del saldo de la cartera de la Institución al cierre del ejercicio</w:t>
            </w:r>
            <w:r w:rsidR="00A17DD7">
              <w:rPr>
                <w:rFonts w:ascii="Soberana Sans" w:eastAsia="Times New Roman" w:hAnsi="Soberana Sans" w:cs="Calibri"/>
                <w:color w:val="000000"/>
                <w:szCs w:val="17"/>
                <w:lang w:eastAsia="es-MX"/>
              </w:rPr>
              <w:t>.</w:t>
            </w:r>
          </w:p>
        </w:tc>
        <w:tc>
          <w:tcPr>
            <w:tcW w:w="4544" w:type="dxa"/>
            <w:gridSpan w:val="3"/>
            <w:tcBorders>
              <w:top w:val="single" w:sz="12" w:space="0" w:color="808080"/>
              <w:left w:val="nil"/>
              <w:bottom w:val="single" w:sz="12" w:space="0" w:color="808080"/>
              <w:right w:val="single" w:sz="12" w:space="0" w:color="808080"/>
            </w:tcBorders>
            <w:shd w:val="clear" w:color="000000" w:fill="F2F2F2"/>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Millones de pesos</w:t>
            </w:r>
          </w:p>
        </w:tc>
        <w:tc>
          <w:tcPr>
            <w:tcW w:w="1093" w:type="dxa"/>
            <w:tcBorders>
              <w:top w:val="nil"/>
              <w:left w:val="nil"/>
              <w:bottom w:val="single" w:sz="12" w:space="0" w:color="808080"/>
              <w:right w:val="single" w:sz="12" w:space="0" w:color="808080"/>
            </w:tcBorders>
            <w:shd w:val="clear" w:color="000000" w:fill="F2F2F2"/>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Anual</w:t>
            </w:r>
          </w:p>
        </w:tc>
      </w:tr>
      <w:tr w:rsidR="00A30FF0" w:rsidRPr="00B31FFC" w:rsidTr="000F6ADC">
        <w:trPr>
          <w:trHeight w:val="186"/>
        </w:trPr>
        <w:tc>
          <w:tcPr>
            <w:tcW w:w="3892" w:type="dxa"/>
            <w:gridSpan w:val="3"/>
            <w:tcBorders>
              <w:top w:val="single" w:sz="12" w:space="0" w:color="808080"/>
              <w:left w:val="single" w:sz="12" w:space="0" w:color="808080"/>
              <w:bottom w:val="single" w:sz="12" w:space="0" w:color="808080"/>
              <w:right w:val="single" w:sz="12" w:space="0" w:color="808080"/>
            </w:tcBorders>
            <w:shd w:val="clear" w:color="000000" w:fill="D9D9D9"/>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Nombre de la variable 1</w:t>
            </w:r>
          </w:p>
        </w:tc>
        <w:tc>
          <w:tcPr>
            <w:tcW w:w="5637" w:type="dxa"/>
            <w:gridSpan w:val="4"/>
            <w:tcBorders>
              <w:top w:val="single" w:sz="12" w:space="0" w:color="808080"/>
              <w:left w:val="nil"/>
              <w:bottom w:val="single" w:sz="12" w:space="0" w:color="808080"/>
              <w:right w:val="single" w:sz="12" w:space="0" w:color="808080"/>
            </w:tcBorders>
            <w:shd w:val="clear" w:color="000000" w:fill="D9D9D9"/>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Valor observado de la variable 1 en 2017</w:t>
            </w:r>
          </w:p>
        </w:tc>
      </w:tr>
      <w:tr w:rsidR="00A30FF0" w:rsidRPr="00B31FFC" w:rsidTr="000F6ADC">
        <w:trPr>
          <w:trHeight w:val="330"/>
        </w:trPr>
        <w:tc>
          <w:tcPr>
            <w:tcW w:w="3892" w:type="dxa"/>
            <w:gridSpan w:val="3"/>
            <w:tcBorders>
              <w:top w:val="single" w:sz="12" w:space="0" w:color="808080"/>
              <w:left w:val="single" w:sz="12" w:space="0" w:color="808080"/>
              <w:bottom w:val="single" w:sz="12" w:space="0" w:color="808080"/>
              <w:right w:val="single" w:sz="12" w:space="0" w:color="808080"/>
            </w:tcBorders>
            <w:shd w:val="clear" w:color="000000" w:fill="F2F2F2"/>
            <w:vAlign w:val="center"/>
            <w:hideMark/>
          </w:tcPr>
          <w:p w:rsidR="00A30FF0" w:rsidRPr="00B31FFC" w:rsidRDefault="00A30FF0" w:rsidP="005220A8">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Total del saldo de la Cartera de la Institución al cierre del ejercicio</w:t>
            </w:r>
            <w:r w:rsidR="00A17DD7">
              <w:rPr>
                <w:rFonts w:ascii="Soberana Sans" w:eastAsia="Times New Roman" w:hAnsi="Soberana Sans" w:cs="Calibri"/>
                <w:color w:val="000000"/>
                <w:szCs w:val="17"/>
                <w:lang w:eastAsia="es-MX"/>
              </w:rPr>
              <w:t>.</w:t>
            </w:r>
          </w:p>
        </w:tc>
        <w:tc>
          <w:tcPr>
            <w:tcW w:w="5637" w:type="dxa"/>
            <w:gridSpan w:val="4"/>
            <w:tcBorders>
              <w:top w:val="single" w:sz="12" w:space="0" w:color="808080"/>
              <w:left w:val="nil"/>
              <w:bottom w:val="single" w:sz="12" w:space="0" w:color="808080"/>
              <w:right w:val="single" w:sz="12" w:space="0" w:color="808080"/>
            </w:tcBorders>
            <w:shd w:val="clear" w:color="000000" w:fill="F2F2F2"/>
            <w:vAlign w:val="center"/>
            <w:hideMark/>
          </w:tcPr>
          <w:p w:rsidR="00A30FF0" w:rsidRPr="00B31FFC" w:rsidRDefault="00A30FF0" w:rsidP="00590A31">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58,016</w:t>
            </w:r>
          </w:p>
        </w:tc>
      </w:tr>
    </w:tbl>
    <w:p w:rsidR="00A30FF0" w:rsidRPr="00B27353" w:rsidRDefault="00A30FF0" w:rsidP="00A30FF0">
      <w:pPr>
        <w:spacing w:after="0" w:line="240" w:lineRule="auto"/>
        <w:rPr>
          <w:lang w:val="es-ES_tradnl"/>
        </w:rPr>
      </w:pPr>
      <w:r w:rsidRPr="00B27353">
        <w:rPr>
          <w:lang w:val="es-ES_tradnl"/>
        </w:rPr>
        <w:t>­ NA: No aplica, en tanto que, derivado del año de la línea base y la frecuencia de medición del indicador, no corresponde reportar valor observado del indicador para este año.</w:t>
      </w:r>
    </w:p>
    <w:p w:rsidR="00A30FF0" w:rsidRDefault="00A30FF0" w:rsidP="00A30FF0">
      <w:pPr>
        <w:spacing w:after="0" w:line="240" w:lineRule="auto"/>
        <w:rPr>
          <w:lang w:val="es-ES_tradnl"/>
        </w:rPr>
      </w:pPr>
      <w:r>
        <w:rPr>
          <w:lang w:val="es-ES_tradnl"/>
        </w:rPr>
        <w:br w:type="page"/>
      </w:r>
    </w:p>
    <w:tbl>
      <w:tblPr>
        <w:tblW w:w="9331" w:type="dxa"/>
        <w:tblCellMar>
          <w:left w:w="70" w:type="dxa"/>
          <w:right w:w="70" w:type="dxa"/>
        </w:tblCellMar>
        <w:tblLook w:val="04A0" w:firstRow="1" w:lastRow="0" w:firstColumn="1" w:lastColumn="0" w:noHBand="0" w:noVBand="1"/>
      </w:tblPr>
      <w:tblGrid>
        <w:gridCol w:w="844"/>
        <w:gridCol w:w="1484"/>
        <w:gridCol w:w="1483"/>
        <w:gridCol w:w="1483"/>
        <w:gridCol w:w="1483"/>
        <w:gridCol w:w="1483"/>
        <w:gridCol w:w="1071"/>
      </w:tblGrid>
      <w:tr w:rsidR="00A30FF0" w:rsidRPr="00B31FFC" w:rsidTr="000F6ADC">
        <w:trPr>
          <w:trHeight w:val="177"/>
        </w:trPr>
        <w:tc>
          <w:tcPr>
            <w:tcW w:w="2328" w:type="dxa"/>
            <w:gridSpan w:val="2"/>
            <w:tcBorders>
              <w:top w:val="single" w:sz="12" w:space="0" w:color="808080"/>
              <w:left w:val="single" w:sz="12" w:space="0" w:color="808080"/>
              <w:bottom w:val="nil"/>
              <w:right w:val="single" w:sz="12" w:space="0" w:color="808080"/>
            </w:tcBorders>
            <w:shd w:val="clear" w:color="000000" w:fill="D9D9D9"/>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lastRenderedPageBreak/>
              <w:t> </w:t>
            </w:r>
          </w:p>
        </w:tc>
        <w:tc>
          <w:tcPr>
            <w:tcW w:w="7003" w:type="dxa"/>
            <w:gridSpan w:val="5"/>
            <w:vMerge w:val="restart"/>
            <w:tcBorders>
              <w:top w:val="single" w:sz="12" w:space="0" w:color="808080"/>
              <w:left w:val="single" w:sz="12" w:space="0" w:color="808080"/>
              <w:bottom w:val="single" w:sz="12" w:space="0" w:color="808080"/>
              <w:right w:val="single" w:sz="12" w:space="0" w:color="808080"/>
            </w:tcBorders>
            <w:shd w:val="clear" w:color="000000" w:fill="F2F2F2"/>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Incrementar el saldo de financiamiento, mejorando las condiciones a los sectores de atención en primer piso, segundo piso e inducido.</w:t>
            </w:r>
          </w:p>
        </w:tc>
      </w:tr>
      <w:tr w:rsidR="00A30FF0" w:rsidRPr="00B31FFC" w:rsidTr="000F6ADC">
        <w:trPr>
          <w:trHeight w:val="169"/>
        </w:trPr>
        <w:tc>
          <w:tcPr>
            <w:tcW w:w="2328" w:type="dxa"/>
            <w:gridSpan w:val="2"/>
            <w:tcBorders>
              <w:top w:val="nil"/>
              <w:left w:val="single" w:sz="12" w:space="0" w:color="808080"/>
              <w:bottom w:val="nil"/>
              <w:right w:val="single" w:sz="12" w:space="0" w:color="808080"/>
            </w:tcBorders>
            <w:shd w:val="clear" w:color="000000" w:fill="D9D9D9"/>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 xml:space="preserve">Objetivo 1. </w:t>
            </w:r>
          </w:p>
        </w:tc>
        <w:tc>
          <w:tcPr>
            <w:tcW w:w="7003" w:type="dxa"/>
            <w:gridSpan w:val="5"/>
            <w:vMerge/>
            <w:tcBorders>
              <w:top w:val="single" w:sz="12" w:space="0" w:color="808080"/>
              <w:left w:val="single" w:sz="12" w:space="0" w:color="808080"/>
              <w:bottom w:val="single" w:sz="12" w:space="0" w:color="808080"/>
              <w:right w:val="single" w:sz="12" w:space="0" w:color="808080"/>
            </w:tcBorders>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p>
        </w:tc>
      </w:tr>
      <w:tr w:rsidR="00A30FF0" w:rsidRPr="00B31FFC" w:rsidTr="000F6ADC">
        <w:trPr>
          <w:trHeight w:val="177"/>
        </w:trPr>
        <w:tc>
          <w:tcPr>
            <w:tcW w:w="2328" w:type="dxa"/>
            <w:gridSpan w:val="2"/>
            <w:tcBorders>
              <w:top w:val="nil"/>
              <w:left w:val="single" w:sz="12" w:space="0" w:color="808080"/>
              <w:bottom w:val="single" w:sz="12" w:space="0" w:color="808080"/>
              <w:right w:val="single" w:sz="12" w:space="0" w:color="808080"/>
            </w:tcBorders>
            <w:shd w:val="clear" w:color="000000" w:fill="D9D9D9"/>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 </w:t>
            </w:r>
          </w:p>
        </w:tc>
        <w:tc>
          <w:tcPr>
            <w:tcW w:w="7003" w:type="dxa"/>
            <w:gridSpan w:val="5"/>
            <w:vMerge/>
            <w:tcBorders>
              <w:top w:val="single" w:sz="12" w:space="0" w:color="808080"/>
              <w:left w:val="single" w:sz="12" w:space="0" w:color="808080"/>
              <w:bottom w:val="single" w:sz="12" w:space="0" w:color="808080"/>
              <w:right w:val="single" w:sz="12" w:space="0" w:color="808080"/>
            </w:tcBorders>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p>
        </w:tc>
      </w:tr>
      <w:tr w:rsidR="00A30FF0" w:rsidRPr="00B31FFC" w:rsidTr="000F6ADC">
        <w:trPr>
          <w:trHeight w:val="177"/>
        </w:trPr>
        <w:tc>
          <w:tcPr>
            <w:tcW w:w="2328" w:type="dxa"/>
            <w:gridSpan w:val="2"/>
            <w:tcBorders>
              <w:top w:val="single" w:sz="12" w:space="0" w:color="808080"/>
              <w:left w:val="single" w:sz="12" w:space="0" w:color="808080"/>
              <w:bottom w:val="nil"/>
              <w:right w:val="single" w:sz="12" w:space="0" w:color="808080"/>
            </w:tcBorders>
            <w:shd w:val="clear" w:color="000000" w:fill="D9D9D9"/>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 </w:t>
            </w:r>
          </w:p>
        </w:tc>
        <w:tc>
          <w:tcPr>
            <w:tcW w:w="7003" w:type="dxa"/>
            <w:gridSpan w:val="5"/>
            <w:vMerge w:val="restart"/>
            <w:tcBorders>
              <w:top w:val="single" w:sz="12" w:space="0" w:color="808080"/>
              <w:left w:val="single" w:sz="12" w:space="0" w:color="808080"/>
              <w:bottom w:val="single" w:sz="12" w:space="0" w:color="808080"/>
              <w:right w:val="single" w:sz="12" w:space="0" w:color="808080"/>
            </w:tcBorders>
            <w:shd w:val="clear" w:color="000000" w:fill="F2F2F2"/>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Oportunidad en la atención a los clientes.</w:t>
            </w:r>
          </w:p>
        </w:tc>
      </w:tr>
      <w:tr w:rsidR="00A30FF0" w:rsidRPr="00B31FFC" w:rsidTr="000F6ADC">
        <w:trPr>
          <w:trHeight w:val="169"/>
        </w:trPr>
        <w:tc>
          <w:tcPr>
            <w:tcW w:w="2328" w:type="dxa"/>
            <w:gridSpan w:val="2"/>
            <w:tcBorders>
              <w:top w:val="nil"/>
              <w:left w:val="single" w:sz="12" w:space="0" w:color="808080"/>
              <w:bottom w:val="nil"/>
              <w:right w:val="single" w:sz="12" w:space="0" w:color="808080"/>
            </w:tcBorders>
            <w:shd w:val="clear" w:color="000000" w:fill="D9D9D9"/>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Nombre del indicador</w:t>
            </w:r>
          </w:p>
        </w:tc>
        <w:tc>
          <w:tcPr>
            <w:tcW w:w="7003" w:type="dxa"/>
            <w:gridSpan w:val="5"/>
            <w:vMerge/>
            <w:tcBorders>
              <w:top w:val="single" w:sz="12" w:space="0" w:color="808080"/>
              <w:left w:val="single" w:sz="12" w:space="0" w:color="808080"/>
              <w:bottom w:val="single" w:sz="12" w:space="0" w:color="808080"/>
              <w:right w:val="single" w:sz="12" w:space="0" w:color="808080"/>
            </w:tcBorders>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p>
        </w:tc>
      </w:tr>
      <w:tr w:rsidR="00A30FF0" w:rsidRPr="00B31FFC" w:rsidTr="000F6ADC">
        <w:trPr>
          <w:trHeight w:val="177"/>
        </w:trPr>
        <w:tc>
          <w:tcPr>
            <w:tcW w:w="2328" w:type="dxa"/>
            <w:gridSpan w:val="2"/>
            <w:tcBorders>
              <w:top w:val="nil"/>
              <w:left w:val="single" w:sz="12" w:space="0" w:color="808080"/>
              <w:bottom w:val="single" w:sz="12" w:space="0" w:color="808080"/>
              <w:right w:val="single" w:sz="12" w:space="0" w:color="808080"/>
            </w:tcBorders>
            <w:shd w:val="clear" w:color="000000" w:fill="D9D9D9"/>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 </w:t>
            </w:r>
          </w:p>
        </w:tc>
        <w:tc>
          <w:tcPr>
            <w:tcW w:w="7003" w:type="dxa"/>
            <w:gridSpan w:val="5"/>
            <w:vMerge/>
            <w:tcBorders>
              <w:top w:val="single" w:sz="12" w:space="0" w:color="808080"/>
              <w:left w:val="single" w:sz="12" w:space="0" w:color="808080"/>
              <w:bottom w:val="single" w:sz="12" w:space="0" w:color="808080"/>
              <w:right w:val="single" w:sz="12" w:space="0" w:color="808080"/>
            </w:tcBorders>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p>
        </w:tc>
      </w:tr>
      <w:tr w:rsidR="00A30FF0" w:rsidRPr="00B31FFC" w:rsidTr="000F6ADC">
        <w:trPr>
          <w:trHeight w:val="177"/>
        </w:trPr>
        <w:tc>
          <w:tcPr>
            <w:tcW w:w="2328" w:type="dxa"/>
            <w:gridSpan w:val="2"/>
            <w:tcBorders>
              <w:top w:val="single" w:sz="12" w:space="0" w:color="808080"/>
              <w:left w:val="single" w:sz="12" w:space="0" w:color="808080"/>
              <w:bottom w:val="nil"/>
              <w:right w:val="single" w:sz="12" w:space="0" w:color="808080"/>
            </w:tcBorders>
            <w:shd w:val="clear" w:color="000000" w:fill="D9D9D9"/>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 </w:t>
            </w:r>
          </w:p>
        </w:tc>
        <w:tc>
          <w:tcPr>
            <w:tcW w:w="7003" w:type="dxa"/>
            <w:gridSpan w:val="5"/>
            <w:vMerge w:val="restart"/>
            <w:tcBorders>
              <w:top w:val="single" w:sz="12" w:space="0" w:color="808080"/>
              <w:left w:val="single" w:sz="12" w:space="0" w:color="808080"/>
              <w:bottom w:val="single" w:sz="12" w:space="0" w:color="808080"/>
              <w:right w:val="single" w:sz="12" w:space="0" w:color="808080"/>
            </w:tcBorders>
            <w:shd w:val="clear" w:color="000000" w:fill="F2F2F2"/>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Informe de Autoevaluación</w:t>
            </w:r>
            <w:r w:rsidR="00A17DD7">
              <w:rPr>
                <w:rFonts w:ascii="Soberana Sans" w:eastAsia="Times New Roman" w:hAnsi="Soberana Sans" w:cs="Calibri"/>
                <w:color w:val="000000"/>
                <w:szCs w:val="17"/>
                <w:lang w:eastAsia="es-MX"/>
              </w:rPr>
              <w:t>.</w:t>
            </w:r>
            <w:r w:rsidRPr="00B31FFC">
              <w:rPr>
                <w:rFonts w:ascii="Soberana Sans" w:eastAsia="Times New Roman" w:hAnsi="Soberana Sans" w:cs="Calibri"/>
                <w:color w:val="000000"/>
                <w:szCs w:val="17"/>
                <w:lang w:eastAsia="es-MX"/>
              </w:rPr>
              <w:t xml:space="preserve">  </w:t>
            </w:r>
          </w:p>
        </w:tc>
      </w:tr>
      <w:tr w:rsidR="00A30FF0" w:rsidRPr="00B31FFC" w:rsidTr="000F6ADC">
        <w:trPr>
          <w:trHeight w:val="253"/>
        </w:trPr>
        <w:tc>
          <w:tcPr>
            <w:tcW w:w="2328" w:type="dxa"/>
            <w:gridSpan w:val="2"/>
            <w:tcBorders>
              <w:top w:val="nil"/>
              <w:left w:val="single" w:sz="12" w:space="0" w:color="808080"/>
              <w:bottom w:val="nil"/>
              <w:right w:val="single" w:sz="12" w:space="0" w:color="808080"/>
            </w:tcBorders>
            <w:shd w:val="clear" w:color="000000" w:fill="D9D9D9"/>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Fuente de información o medio de verificación</w:t>
            </w:r>
          </w:p>
        </w:tc>
        <w:tc>
          <w:tcPr>
            <w:tcW w:w="7003" w:type="dxa"/>
            <w:gridSpan w:val="5"/>
            <w:vMerge/>
            <w:tcBorders>
              <w:top w:val="single" w:sz="12" w:space="0" w:color="808080"/>
              <w:left w:val="single" w:sz="12" w:space="0" w:color="808080"/>
              <w:bottom w:val="single" w:sz="12" w:space="0" w:color="808080"/>
              <w:right w:val="single" w:sz="12" w:space="0" w:color="808080"/>
            </w:tcBorders>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p>
        </w:tc>
      </w:tr>
      <w:tr w:rsidR="00A30FF0" w:rsidRPr="00B31FFC" w:rsidTr="000F6ADC">
        <w:trPr>
          <w:trHeight w:val="177"/>
        </w:trPr>
        <w:tc>
          <w:tcPr>
            <w:tcW w:w="2328" w:type="dxa"/>
            <w:gridSpan w:val="2"/>
            <w:tcBorders>
              <w:top w:val="nil"/>
              <w:left w:val="single" w:sz="12" w:space="0" w:color="808080"/>
              <w:bottom w:val="single" w:sz="12" w:space="0" w:color="808080"/>
              <w:right w:val="single" w:sz="12" w:space="0" w:color="808080"/>
            </w:tcBorders>
            <w:shd w:val="clear" w:color="000000" w:fill="D9D9D9"/>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 </w:t>
            </w:r>
          </w:p>
        </w:tc>
        <w:tc>
          <w:tcPr>
            <w:tcW w:w="7003" w:type="dxa"/>
            <w:gridSpan w:val="5"/>
            <w:vMerge/>
            <w:tcBorders>
              <w:top w:val="single" w:sz="12" w:space="0" w:color="808080"/>
              <w:left w:val="single" w:sz="12" w:space="0" w:color="808080"/>
              <w:bottom w:val="single" w:sz="12" w:space="0" w:color="808080"/>
              <w:right w:val="single" w:sz="12" w:space="0" w:color="808080"/>
            </w:tcBorders>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p>
        </w:tc>
      </w:tr>
      <w:tr w:rsidR="00A30FF0" w:rsidRPr="00B31FFC" w:rsidTr="000F6ADC">
        <w:trPr>
          <w:trHeight w:val="380"/>
        </w:trPr>
        <w:tc>
          <w:tcPr>
            <w:tcW w:w="2328" w:type="dxa"/>
            <w:gridSpan w:val="2"/>
            <w:tcBorders>
              <w:top w:val="single" w:sz="12" w:space="0" w:color="808080"/>
              <w:left w:val="single" w:sz="12" w:space="0" w:color="808080"/>
              <w:bottom w:val="single" w:sz="12" w:space="0" w:color="808080"/>
              <w:right w:val="single" w:sz="12" w:space="0" w:color="808080"/>
            </w:tcBorders>
            <w:shd w:val="clear" w:color="000000" w:fill="D9D9D9"/>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Dirección electrónica donde puede verificarse el valor del indicador</w:t>
            </w:r>
          </w:p>
        </w:tc>
        <w:tc>
          <w:tcPr>
            <w:tcW w:w="7003" w:type="dxa"/>
            <w:gridSpan w:val="5"/>
            <w:tcBorders>
              <w:top w:val="single" w:sz="12" w:space="0" w:color="808080"/>
              <w:left w:val="nil"/>
              <w:bottom w:val="single" w:sz="12" w:space="0" w:color="808080"/>
              <w:right w:val="single" w:sz="12" w:space="0" w:color="808080"/>
            </w:tcBorders>
            <w:shd w:val="clear" w:color="000000" w:fill="F2F2F2"/>
            <w:vAlign w:val="center"/>
            <w:hideMark/>
          </w:tcPr>
          <w:p w:rsidR="00A30FF0" w:rsidRPr="00B31FFC" w:rsidRDefault="00D45EA0" w:rsidP="000F6ADC">
            <w:pPr>
              <w:spacing w:after="0" w:line="240" w:lineRule="auto"/>
              <w:rPr>
                <w:rFonts w:ascii="Calibri" w:eastAsia="Times New Roman" w:hAnsi="Calibri" w:cs="Calibri"/>
                <w:color w:val="0563C1"/>
                <w:sz w:val="22"/>
                <w:u w:val="single"/>
                <w:lang w:eastAsia="es-MX"/>
              </w:rPr>
            </w:pPr>
            <w:hyperlink r:id="rId21" w:history="1">
              <w:r w:rsidR="00A30FF0" w:rsidRPr="00B31FFC">
                <w:rPr>
                  <w:rFonts w:ascii="Soberana Sans" w:eastAsia="Times New Roman" w:hAnsi="Soberana Sans" w:cs="Calibri"/>
                  <w:color w:val="000000"/>
                  <w:szCs w:val="17"/>
                  <w:lang w:eastAsia="es-MX"/>
                </w:rPr>
                <w:t>www.gob.mx/fnd</w:t>
              </w:r>
            </w:hyperlink>
          </w:p>
        </w:tc>
      </w:tr>
      <w:tr w:rsidR="00A30FF0" w:rsidRPr="00B31FFC" w:rsidTr="000F6ADC">
        <w:trPr>
          <w:trHeight w:val="321"/>
        </w:trPr>
        <w:tc>
          <w:tcPr>
            <w:tcW w:w="844" w:type="dxa"/>
            <w:tcBorders>
              <w:top w:val="nil"/>
              <w:left w:val="single" w:sz="12" w:space="0" w:color="808080"/>
              <w:bottom w:val="single" w:sz="12" w:space="0" w:color="808080"/>
              <w:right w:val="single" w:sz="12" w:space="0" w:color="808080"/>
            </w:tcBorders>
            <w:shd w:val="clear" w:color="000000" w:fill="D9D9D9"/>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 xml:space="preserve">Línea base </w:t>
            </w:r>
          </w:p>
        </w:tc>
        <w:tc>
          <w:tcPr>
            <w:tcW w:w="1483" w:type="dxa"/>
            <w:vMerge w:val="restart"/>
            <w:tcBorders>
              <w:top w:val="nil"/>
              <w:left w:val="single" w:sz="12" w:space="0" w:color="808080"/>
              <w:bottom w:val="single" w:sz="12" w:space="0" w:color="808080"/>
              <w:right w:val="single" w:sz="12" w:space="0" w:color="808080"/>
            </w:tcBorders>
            <w:shd w:val="clear" w:color="000000" w:fill="D9D9D9"/>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Valor observado del indicador en 2013</w:t>
            </w:r>
          </w:p>
        </w:tc>
        <w:tc>
          <w:tcPr>
            <w:tcW w:w="1483" w:type="dxa"/>
            <w:vMerge w:val="restart"/>
            <w:tcBorders>
              <w:top w:val="nil"/>
              <w:left w:val="single" w:sz="12" w:space="0" w:color="808080"/>
              <w:bottom w:val="single" w:sz="12" w:space="0" w:color="808080"/>
              <w:right w:val="single" w:sz="12" w:space="0" w:color="808080"/>
            </w:tcBorders>
            <w:shd w:val="clear" w:color="000000" w:fill="D9D9D9"/>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Valor observado del indicador en 2014</w:t>
            </w:r>
          </w:p>
        </w:tc>
        <w:tc>
          <w:tcPr>
            <w:tcW w:w="1483" w:type="dxa"/>
            <w:vMerge w:val="restart"/>
            <w:tcBorders>
              <w:top w:val="nil"/>
              <w:left w:val="single" w:sz="12" w:space="0" w:color="808080"/>
              <w:bottom w:val="single" w:sz="12" w:space="0" w:color="808080"/>
              <w:right w:val="single" w:sz="12" w:space="0" w:color="808080"/>
            </w:tcBorders>
            <w:shd w:val="clear" w:color="000000" w:fill="D9D9D9"/>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Valor observado del indicador en 2015</w:t>
            </w:r>
          </w:p>
        </w:tc>
        <w:tc>
          <w:tcPr>
            <w:tcW w:w="1483" w:type="dxa"/>
            <w:vMerge w:val="restart"/>
            <w:tcBorders>
              <w:top w:val="nil"/>
              <w:left w:val="single" w:sz="12" w:space="0" w:color="808080"/>
              <w:bottom w:val="single" w:sz="12" w:space="0" w:color="808080"/>
              <w:right w:val="single" w:sz="12" w:space="0" w:color="808080"/>
            </w:tcBorders>
            <w:shd w:val="clear" w:color="000000" w:fill="D9D9D9"/>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Valor observado del indicador en 2016</w:t>
            </w:r>
          </w:p>
        </w:tc>
        <w:tc>
          <w:tcPr>
            <w:tcW w:w="1483" w:type="dxa"/>
            <w:vMerge w:val="restart"/>
            <w:tcBorders>
              <w:top w:val="nil"/>
              <w:left w:val="single" w:sz="12" w:space="0" w:color="808080"/>
              <w:bottom w:val="single" w:sz="12" w:space="0" w:color="808080"/>
              <w:right w:val="single" w:sz="12" w:space="0" w:color="808080"/>
            </w:tcBorders>
            <w:shd w:val="clear" w:color="000000" w:fill="D9D9D9"/>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Valor observado del indicador en 2017</w:t>
            </w:r>
          </w:p>
        </w:tc>
        <w:tc>
          <w:tcPr>
            <w:tcW w:w="1070" w:type="dxa"/>
            <w:vMerge w:val="restart"/>
            <w:tcBorders>
              <w:top w:val="nil"/>
              <w:left w:val="single" w:sz="12" w:space="0" w:color="808080"/>
              <w:bottom w:val="single" w:sz="12" w:space="0" w:color="808080"/>
              <w:right w:val="single" w:sz="12" w:space="0" w:color="808080"/>
            </w:tcBorders>
            <w:shd w:val="clear" w:color="000000" w:fill="D9D9D9"/>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Meta 2018</w:t>
            </w:r>
          </w:p>
        </w:tc>
      </w:tr>
      <w:tr w:rsidR="00A30FF0" w:rsidRPr="00B31FFC" w:rsidTr="000F6ADC">
        <w:trPr>
          <w:trHeight w:val="186"/>
        </w:trPr>
        <w:tc>
          <w:tcPr>
            <w:tcW w:w="844" w:type="dxa"/>
            <w:tcBorders>
              <w:top w:val="nil"/>
              <w:left w:val="single" w:sz="12" w:space="0" w:color="808080"/>
              <w:bottom w:val="single" w:sz="12" w:space="0" w:color="808080"/>
              <w:right w:val="single" w:sz="12" w:space="0" w:color="808080"/>
            </w:tcBorders>
            <w:shd w:val="clear" w:color="000000" w:fill="F2F2F2"/>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2013</w:t>
            </w:r>
          </w:p>
        </w:tc>
        <w:tc>
          <w:tcPr>
            <w:tcW w:w="1483" w:type="dxa"/>
            <w:vMerge/>
            <w:tcBorders>
              <w:top w:val="nil"/>
              <w:left w:val="single" w:sz="12" w:space="0" w:color="808080"/>
              <w:bottom w:val="single" w:sz="12" w:space="0" w:color="808080"/>
              <w:right w:val="single" w:sz="12" w:space="0" w:color="808080"/>
            </w:tcBorders>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p>
        </w:tc>
        <w:tc>
          <w:tcPr>
            <w:tcW w:w="1483" w:type="dxa"/>
            <w:vMerge/>
            <w:tcBorders>
              <w:top w:val="nil"/>
              <w:left w:val="single" w:sz="12" w:space="0" w:color="808080"/>
              <w:bottom w:val="single" w:sz="12" w:space="0" w:color="808080"/>
              <w:right w:val="single" w:sz="12" w:space="0" w:color="808080"/>
            </w:tcBorders>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p>
        </w:tc>
        <w:tc>
          <w:tcPr>
            <w:tcW w:w="1483" w:type="dxa"/>
            <w:vMerge/>
            <w:tcBorders>
              <w:top w:val="nil"/>
              <w:left w:val="single" w:sz="12" w:space="0" w:color="808080"/>
              <w:bottom w:val="single" w:sz="12" w:space="0" w:color="808080"/>
              <w:right w:val="single" w:sz="12" w:space="0" w:color="808080"/>
            </w:tcBorders>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p>
        </w:tc>
        <w:tc>
          <w:tcPr>
            <w:tcW w:w="1483" w:type="dxa"/>
            <w:vMerge/>
            <w:tcBorders>
              <w:top w:val="nil"/>
              <w:left w:val="single" w:sz="12" w:space="0" w:color="808080"/>
              <w:bottom w:val="single" w:sz="12" w:space="0" w:color="808080"/>
              <w:right w:val="single" w:sz="12" w:space="0" w:color="808080"/>
            </w:tcBorders>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p>
        </w:tc>
        <w:tc>
          <w:tcPr>
            <w:tcW w:w="1483" w:type="dxa"/>
            <w:vMerge/>
            <w:tcBorders>
              <w:top w:val="nil"/>
              <w:left w:val="single" w:sz="12" w:space="0" w:color="808080"/>
              <w:bottom w:val="single" w:sz="12" w:space="0" w:color="808080"/>
              <w:right w:val="single" w:sz="12" w:space="0" w:color="808080"/>
            </w:tcBorders>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p>
        </w:tc>
        <w:tc>
          <w:tcPr>
            <w:tcW w:w="1070" w:type="dxa"/>
            <w:vMerge/>
            <w:tcBorders>
              <w:top w:val="nil"/>
              <w:left w:val="single" w:sz="12" w:space="0" w:color="808080"/>
              <w:bottom w:val="single" w:sz="12" w:space="0" w:color="808080"/>
              <w:right w:val="single" w:sz="12" w:space="0" w:color="808080"/>
            </w:tcBorders>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p>
        </w:tc>
      </w:tr>
      <w:tr w:rsidR="00A30FF0" w:rsidRPr="00B31FFC" w:rsidTr="000F6ADC">
        <w:trPr>
          <w:trHeight w:val="215"/>
        </w:trPr>
        <w:tc>
          <w:tcPr>
            <w:tcW w:w="844" w:type="dxa"/>
            <w:vMerge w:val="restart"/>
            <w:tcBorders>
              <w:top w:val="nil"/>
              <w:left w:val="single" w:sz="12" w:space="0" w:color="808080"/>
              <w:bottom w:val="single" w:sz="12" w:space="0" w:color="808080"/>
              <w:right w:val="single" w:sz="12" w:space="0" w:color="808080"/>
            </w:tcBorders>
            <w:shd w:val="clear" w:color="000000" w:fill="F2F2F2"/>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100</w:t>
            </w:r>
          </w:p>
        </w:tc>
        <w:tc>
          <w:tcPr>
            <w:tcW w:w="1483" w:type="dxa"/>
            <w:vMerge w:val="restart"/>
            <w:tcBorders>
              <w:top w:val="nil"/>
              <w:left w:val="single" w:sz="12" w:space="0" w:color="808080"/>
              <w:bottom w:val="single" w:sz="12" w:space="0" w:color="808080"/>
              <w:right w:val="single" w:sz="12" w:space="0" w:color="808080"/>
            </w:tcBorders>
            <w:shd w:val="clear" w:color="000000" w:fill="F2F2F2"/>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N/A</w:t>
            </w:r>
          </w:p>
        </w:tc>
        <w:tc>
          <w:tcPr>
            <w:tcW w:w="1483" w:type="dxa"/>
            <w:vMerge w:val="restart"/>
            <w:tcBorders>
              <w:top w:val="nil"/>
              <w:left w:val="single" w:sz="12" w:space="0" w:color="808080"/>
              <w:bottom w:val="single" w:sz="12" w:space="0" w:color="808080"/>
              <w:right w:val="single" w:sz="12" w:space="0" w:color="808080"/>
            </w:tcBorders>
            <w:shd w:val="clear" w:color="000000" w:fill="F2F2F2"/>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98.2</w:t>
            </w:r>
          </w:p>
        </w:tc>
        <w:tc>
          <w:tcPr>
            <w:tcW w:w="1483" w:type="dxa"/>
            <w:vMerge w:val="restart"/>
            <w:tcBorders>
              <w:top w:val="nil"/>
              <w:left w:val="single" w:sz="12" w:space="0" w:color="808080"/>
              <w:bottom w:val="single" w:sz="12" w:space="0" w:color="808080"/>
              <w:right w:val="single" w:sz="12" w:space="0" w:color="808080"/>
            </w:tcBorders>
            <w:shd w:val="clear" w:color="000000" w:fill="F2F2F2"/>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109.0</w:t>
            </w:r>
          </w:p>
        </w:tc>
        <w:tc>
          <w:tcPr>
            <w:tcW w:w="1483" w:type="dxa"/>
            <w:vMerge w:val="restart"/>
            <w:tcBorders>
              <w:top w:val="nil"/>
              <w:left w:val="single" w:sz="12" w:space="0" w:color="808080"/>
              <w:bottom w:val="single" w:sz="12" w:space="0" w:color="808080"/>
              <w:right w:val="single" w:sz="12" w:space="0" w:color="808080"/>
            </w:tcBorders>
            <w:shd w:val="clear" w:color="000000" w:fill="F2F2F2"/>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88.3</w:t>
            </w:r>
          </w:p>
        </w:tc>
        <w:tc>
          <w:tcPr>
            <w:tcW w:w="1483" w:type="dxa"/>
            <w:vMerge w:val="restart"/>
            <w:tcBorders>
              <w:top w:val="nil"/>
              <w:left w:val="single" w:sz="12" w:space="0" w:color="808080"/>
              <w:bottom w:val="single" w:sz="12" w:space="0" w:color="808080"/>
              <w:right w:val="single" w:sz="12" w:space="0" w:color="808080"/>
            </w:tcBorders>
            <w:shd w:val="clear" w:color="000000" w:fill="F2F2F2"/>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76.5</w:t>
            </w:r>
          </w:p>
        </w:tc>
        <w:tc>
          <w:tcPr>
            <w:tcW w:w="1070" w:type="dxa"/>
            <w:vMerge w:val="restart"/>
            <w:tcBorders>
              <w:top w:val="nil"/>
              <w:left w:val="single" w:sz="12" w:space="0" w:color="808080"/>
              <w:bottom w:val="single" w:sz="12" w:space="0" w:color="808080"/>
              <w:right w:val="single" w:sz="12" w:space="0" w:color="808080"/>
            </w:tcBorders>
            <w:shd w:val="clear" w:color="000000" w:fill="F2F2F2"/>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85</w:t>
            </w:r>
          </w:p>
        </w:tc>
      </w:tr>
      <w:tr w:rsidR="00A30FF0" w:rsidRPr="00B31FFC" w:rsidTr="000F6ADC">
        <w:trPr>
          <w:trHeight w:val="315"/>
        </w:trPr>
        <w:tc>
          <w:tcPr>
            <w:tcW w:w="844" w:type="dxa"/>
            <w:vMerge/>
            <w:tcBorders>
              <w:top w:val="nil"/>
              <w:left w:val="single" w:sz="12" w:space="0" w:color="808080"/>
              <w:bottom w:val="single" w:sz="12" w:space="0" w:color="808080"/>
              <w:right w:val="single" w:sz="12" w:space="0" w:color="808080"/>
            </w:tcBorders>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p>
        </w:tc>
        <w:tc>
          <w:tcPr>
            <w:tcW w:w="1483" w:type="dxa"/>
            <w:vMerge/>
            <w:tcBorders>
              <w:top w:val="nil"/>
              <w:left w:val="single" w:sz="12" w:space="0" w:color="808080"/>
              <w:bottom w:val="single" w:sz="12" w:space="0" w:color="808080"/>
              <w:right w:val="single" w:sz="12" w:space="0" w:color="808080"/>
            </w:tcBorders>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p>
        </w:tc>
        <w:tc>
          <w:tcPr>
            <w:tcW w:w="1483" w:type="dxa"/>
            <w:vMerge/>
            <w:tcBorders>
              <w:top w:val="nil"/>
              <w:left w:val="single" w:sz="12" w:space="0" w:color="808080"/>
              <w:bottom w:val="single" w:sz="12" w:space="0" w:color="808080"/>
              <w:right w:val="single" w:sz="12" w:space="0" w:color="808080"/>
            </w:tcBorders>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p>
        </w:tc>
        <w:tc>
          <w:tcPr>
            <w:tcW w:w="1483" w:type="dxa"/>
            <w:vMerge/>
            <w:tcBorders>
              <w:top w:val="nil"/>
              <w:left w:val="single" w:sz="12" w:space="0" w:color="808080"/>
              <w:bottom w:val="single" w:sz="12" w:space="0" w:color="808080"/>
              <w:right w:val="single" w:sz="12" w:space="0" w:color="808080"/>
            </w:tcBorders>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p>
        </w:tc>
        <w:tc>
          <w:tcPr>
            <w:tcW w:w="1483" w:type="dxa"/>
            <w:vMerge/>
            <w:tcBorders>
              <w:top w:val="nil"/>
              <w:left w:val="single" w:sz="12" w:space="0" w:color="808080"/>
              <w:bottom w:val="single" w:sz="12" w:space="0" w:color="808080"/>
              <w:right w:val="single" w:sz="12" w:space="0" w:color="808080"/>
            </w:tcBorders>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p>
        </w:tc>
        <w:tc>
          <w:tcPr>
            <w:tcW w:w="1483" w:type="dxa"/>
            <w:vMerge/>
            <w:tcBorders>
              <w:top w:val="nil"/>
              <w:left w:val="single" w:sz="12" w:space="0" w:color="808080"/>
              <w:bottom w:val="single" w:sz="12" w:space="0" w:color="808080"/>
              <w:right w:val="single" w:sz="12" w:space="0" w:color="808080"/>
            </w:tcBorders>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p>
        </w:tc>
        <w:tc>
          <w:tcPr>
            <w:tcW w:w="1070" w:type="dxa"/>
            <w:vMerge/>
            <w:tcBorders>
              <w:top w:val="nil"/>
              <w:left w:val="single" w:sz="12" w:space="0" w:color="808080"/>
              <w:bottom w:val="single" w:sz="12" w:space="0" w:color="808080"/>
              <w:right w:val="single" w:sz="12" w:space="0" w:color="808080"/>
            </w:tcBorders>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p>
        </w:tc>
      </w:tr>
      <w:tr w:rsidR="00A30FF0" w:rsidRPr="00B31FFC" w:rsidTr="000F6ADC">
        <w:trPr>
          <w:trHeight w:val="270"/>
        </w:trPr>
        <w:tc>
          <w:tcPr>
            <w:tcW w:w="3811" w:type="dxa"/>
            <w:gridSpan w:val="3"/>
            <w:tcBorders>
              <w:top w:val="single" w:sz="12" w:space="0" w:color="808080"/>
              <w:left w:val="single" w:sz="12" w:space="0" w:color="808080"/>
              <w:bottom w:val="single" w:sz="12" w:space="0" w:color="808080"/>
              <w:right w:val="single" w:sz="12" w:space="0" w:color="808080"/>
            </w:tcBorders>
            <w:shd w:val="clear" w:color="000000" w:fill="D9D9D9"/>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Método de cálculo</w:t>
            </w:r>
          </w:p>
        </w:tc>
        <w:tc>
          <w:tcPr>
            <w:tcW w:w="4449" w:type="dxa"/>
            <w:gridSpan w:val="3"/>
            <w:tcBorders>
              <w:top w:val="single" w:sz="12" w:space="0" w:color="808080"/>
              <w:left w:val="nil"/>
              <w:bottom w:val="single" w:sz="12" w:space="0" w:color="808080"/>
              <w:right w:val="single" w:sz="12" w:space="0" w:color="808080"/>
            </w:tcBorders>
            <w:shd w:val="clear" w:color="000000" w:fill="D9D9D9"/>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Unidad de Medida</w:t>
            </w:r>
          </w:p>
        </w:tc>
        <w:tc>
          <w:tcPr>
            <w:tcW w:w="1070" w:type="dxa"/>
            <w:tcBorders>
              <w:top w:val="nil"/>
              <w:left w:val="nil"/>
              <w:bottom w:val="single" w:sz="12" w:space="0" w:color="808080"/>
              <w:right w:val="single" w:sz="12" w:space="0" w:color="808080"/>
            </w:tcBorders>
            <w:shd w:val="clear" w:color="000000" w:fill="D9D9D9"/>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Frecuencia de medición</w:t>
            </w:r>
          </w:p>
        </w:tc>
      </w:tr>
      <w:tr w:rsidR="00A30FF0" w:rsidRPr="00B31FFC" w:rsidTr="000F6ADC">
        <w:trPr>
          <w:trHeight w:val="668"/>
        </w:trPr>
        <w:tc>
          <w:tcPr>
            <w:tcW w:w="3811" w:type="dxa"/>
            <w:gridSpan w:val="3"/>
            <w:tcBorders>
              <w:top w:val="single" w:sz="12" w:space="0" w:color="808080"/>
              <w:left w:val="single" w:sz="12" w:space="0" w:color="808080"/>
              <w:bottom w:val="single" w:sz="12" w:space="0" w:color="808080"/>
              <w:right w:val="single" w:sz="12" w:space="0" w:color="808080"/>
            </w:tcBorders>
            <w:shd w:val="clear" w:color="000000" w:fill="F2F2F2"/>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Número de días transcurridos desde la solicitud hasta la primera dispersión al cierre del ejercicio entre el número de d</w:t>
            </w:r>
            <w:r>
              <w:rPr>
                <w:rFonts w:ascii="Soberana Sans" w:eastAsia="Times New Roman" w:hAnsi="Soberana Sans" w:cs="Calibri"/>
                <w:color w:val="000000"/>
                <w:szCs w:val="17"/>
                <w:lang w:eastAsia="es-MX"/>
              </w:rPr>
              <w:t>í</w:t>
            </w:r>
            <w:r w:rsidRPr="00B31FFC">
              <w:rPr>
                <w:rFonts w:ascii="Soberana Sans" w:eastAsia="Times New Roman" w:hAnsi="Soberana Sans" w:cs="Calibri"/>
                <w:color w:val="000000"/>
                <w:szCs w:val="17"/>
                <w:lang w:eastAsia="es-MX"/>
              </w:rPr>
              <w:t>as transcurridos desde la solicitud hasta la primera dispersión al cierre de 2013</w:t>
            </w:r>
            <w:r w:rsidR="00A17DD7">
              <w:rPr>
                <w:rFonts w:ascii="Soberana Sans" w:eastAsia="Times New Roman" w:hAnsi="Soberana Sans" w:cs="Calibri"/>
                <w:color w:val="000000"/>
                <w:szCs w:val="17"/>
                <w:lang w:eastAsia="es-MX"/>
              </w:rPr>
              <w:t>.</w:t>
            </w:r>
          </w:p>
        </w:tc>
        <w:tc>
          <w:tcPr>
            <w:tcW w:w="4449" w:type="dxa"/>
            <w:gridSpan w:val="3"/>
            <w:tcBorders>
              <w:top w:val="single" w:sz="12" w:space="0" w:color="808080"/>
              <w:left w:val="nil"/>
              <w:bottom w:val="single" w:sz="12" w:space="0" w:color="808080"/>
              <w:right w:val="single" w:sz="12" w:space="0" w:color="808080"/>
            </w:tcBorders>
            <w:shd w:val="clear" w:color="000000" w:fill="F2F2F2"/>
            <w:vAlign w:val="center"/>
            <w:hideMark/>
          </w:tcPr>
          <w:p w:rsidR="00A30FF0" w:rsidRPr="00B31FFC" w:rsidRDefault="00567E16" w:rsidP="000F6ADC">
            <w:pPr>
              <w:spacing w:after="0" w:line="240" w:lineRule="auto"/>
              <w:jc w:val="center"/>
              <w:rPr>
                <w:rFonts w:ascii="Soberana Sans" w:eastAsia="Times New Roman" w:hAnsi="Soberana Sans" w:cs="Calibri"/>
                <w:color w:val="000000"/>
                <w:szCs w:val="17"/>
                <w:lang w:eastAsia="es-MX"/>
              </w:rPr>
            </w:pPr>
            <w:r>
              <w:rPr>
                <w:rFonts w:ascii="Soberana Sans" w:eastAsia="Times New Roman" w:hAnsi="Soberana Sans" w:cs="Calibri"/>
                <w:color w:val="000000"/>
                <w:szCs w:val="17"/>
                <w:lang w:eastAsia="es-MX"/>
              </w:rPr>
              <w:t>P</w:t>
            </w:r>
            <w:r w:rsidR="00A30FF0" w:rsidRPr="00B31FFC">
              <w:rPr>
                <w:rFonts w:ascii="Soberana Sans" w:eastAsia="Times New Roman" w:hAnsi="Soberana Sans" w:cs="Calibri"/>
                <w:color w:val="000000"/>
                <w:szCs w:val="17"/>
                <w:lang w:eastAsia="es-MX"/>
              </w:rPr>
              <w:t>orcentaje</w:t>
            </w:r>
          </w:p>
        </w:tc>
        <w:tc>
          <w:tcPr>
            <w:tcW w:w="1070" w:type="dxa"/>
            <w:tcBorders>
              <w:top w:val="nil"/>
              <w:left w:val="nil"/>
              <w:bottom w:val="single" w:sz="12" w:space="0" w:color="808080"/>
              <w:right w:val="single" w:sz="12" w:space="0" w:color="808080"/>
            </w:tcBorders>
            <w:shd w:val="clear" w:color="000000" w:fill="F2F2F2"/>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Anual</w:t>
            </w:r>
          </w:p>
        </w:tc>
      </w:tr>
      <w:tr w:rsidR="00A30FF0" w:rsidRPr="00B31FFC" w:rsidTr="000F6ADC">
        <w:trPr>
          <w:trHeight w:val="186"/>
        </w:trPr>
        <w:tc>
          <w:tcPr>
            <w:tcW w:w="3811" w:type="dxa"/>
            <w:gridSpan w:val="3"/>
            <w:tcBorders>
              <w:top w:val="single" w:sz="12" w:space="0" w:color="808080"/>
              <w:left w:val="single" w:sz="12" w:space="0" w:color="808080"/>
              <w:bottom w:val="single" w:sz="12" w:space="0" w:color="808080"/>
              <w:right w:val="single" w:sz="12" w:space="0" w:color="808080"/>
            </w:tcBorders>
            <w:shd w:val="clear" w:color="000000" w:fill="D9D9D9"/>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Nombre de la variable 1</w:t>
            </w:r>
          </w:p>
        </w:tc>
        <w:tc>
          <w:tcPr>
            <w:tcW w:w="5519" w:type="dxa"/>
            <w:gridSpan w:val="4"/>
            <w:tcBorders>
              <w:top w:val="single" w:sz="12" w:space="0" w:color="808080"/>
              <w:left w:val="nil"/>
              <w:bottom w:val="single" w:sz="12" w:space="0" w:color="808080"/>
              <w:right w:val="single" w:sz="12" w:space="0" w:color="808080"/>
            </w:tcBorders>
            <w:shd w:val="clear" w:color="000000" w:fill="D9D9D9"/>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Valor observado de la variable 1 en 2017</w:t>
            </w:r>
          </w:p>
        </w:tc>
      </w:tr>
      <w:tr w:rsidR="00A30FF0" w:rsidRPr="00B31FFC" w:rsidTr="000F6ADC">
        <w:trPr>
          <w:trHeight w:val="329"/>
        </w:trPr>
        <w:tc>
          <w:tcPr>
            <w:tcW w:w="3811" w:type="dxa"/>
            <w:gridSpan w:val="3"/>
            <w:tcBorders>
              <w:top w:val="single" w:sz="12" w:space="0" w:color="808080"/>
              <w:left w:val="single" w:sz="12" w:space="0" w:color="808080"/>
              <w:bottom w:val="single" w:sz="12" w:space="0" w:color="808080"/>
              <w:right w:val="single" w:sz="12" w:space="0" w:color="808080"/>
            </w:tcBorders>
            <w:shd w:val="clear" w:color="000000" w:fill="F2F2F2"/>
            <w:vAlign w:val="center"/>
            <w:hideMark/>
          </w:tcPr>
          <w:p w:rsidR="00A30FF0" w:rsidRPr="00B31FFC" w:rsidRDefault="00A30FF0" w:rsidP="005220A8">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Número de días transcurridos desde la solicitud hasta la primera dis</w:t>
            </w:r>
            <w:r w:rsidR="00A17DD7">
              <w:rPr>
                <w:rFonts w:ascii="Soberana Sans" w:eastAsia="Times New Roman" w:hAnsi="Soberana Sans" w:cs="Calibri"/>
                <w:color w:val="000000"/>
                <w:szCs w:val="17"/>
                <w:lang w:eastAsia="es-MX"/>
              </w:rPr>
              <w:t>persión al cierre del ejercicio.</w:t>
            </w:r>
          </w:p>
        </w:tc>
        <w:tc>
          <w:tcPr>
            <w:tcW w:w="5519" w:type="dxa"/>
            <w:gridSpan w:val="4"/>
            <w:tcBorders>
              <w:top w:val="single" w:sz="12" w:space="0" w:color="808080"/>
              <w:left w:val="nil"/>
              <w:bottom w:val="single" w:sz="12" w:space="0" w:color="808080"/>
              <w:right w:val="single" w:sz="12" w:space="0" w:color="808080"/>
            </w:tcBorders>
            <w:shd w:val="clear" w:color="000000" w:fill="F2F2F2"/>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19.79</w:t>
            </w:r>
          </w:p>
        </w:tc>
      </w:tr>
      <w:tr w:rsidR="00A30FF0" w:rsidRPr="00B31FFC" w:rsidTr="000F6ADC">
        <w:trPr>
          <w:trHeight w:val="186"/>
        </w:trPr>
        <w:tc>
          <w:tcPr>
            <w:tcW w:w="3811" w:type="dxa"/>
            <w:gridSpan w:val="3"/>
            <w:tcBorders>
              <w:top w:val="single" w:sz="12" w:space="0" w:color="808080"/>
              <w:left w:val="single" w:sz="12" w:space="0" w:color="808080"/>
              <w:bottom w:val="single" w:sz="12" w:space="0" w:color="808080"/>
              <w:right w:val="single" w:sz="12" w:space="0" w:color="808080"/>
            </w:tcBorders>
            <w:shd w:val="clear" w:color="000000" w:fill="D9D9D9"/>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Nombre de la variable 2</w:t>
            </w:r>
          </w:p>
        </w:tc>
        <w:tc>
          <w:tcPr>
            <w:tcW w:w="5519" w:type="dxa"/>
            <w:gridSpan w:val="4"/>
            <w:tcBorders>
              <w:top w:val="single" w:sz="12" w:space="0" w:color="808080"/>
              <w:left w:val="nil"/>
              <w:bottom w:val="single" w:sz="12" w:space="0" w:color="808080"/>
              <w:right w:val="single" w:sz="12" w:space="0" w:color="808080"/>
            </w:tcBorders>
            <w:shd w:val="clear" w:color="000000" w:fill="D9D9D9"/>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Valor observado de la variable 2 en 2017</w:t>
            </w:r>
          </w:p>
        </w:tc>
      </w:tr>
      <w:tr w:rsidR="00A30FF0" w:rsidRPr="00B31FFC" w:rsidTr="000F6ADC">
        <w:trPr>
          <w:trHeight w:val="304"/>
        </w:trPr>
        <w:tc>
          <w:tcPr>
            <w:tcW w:w="3811" w:type="dxa"/>
            <w:gridSpan w:val="3"/>
            <w:tcBorders>
              <w:top w:val="single" w:sz="12" w:space="0" w:color="808080"/>
              <w:left w:val="single" w:sz="12" w:space="0" w:color="808080"/>
              <w:bottom w:val="single" w:sz="12" w:space="0" w:color="808080"/>
              <w:right w:val="single" w:sz="12" w:space="0" w:color="808080"/>
            </w:tcBorders>
            <w:shd w:val="clear" w:color="000000" w:fill="F2F2F2"/>
            <w:vAlign w:val="center"/>
            <w:hideMark/>
          </w:tcPr>
          <w:p w:rsidR="00A30FF0" w:rsidRPr="00B31FFC" w:rsidRDefault="00A30FF0" w:rsidP="005220A8">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Número de días transcurridos desde la solicitud hasta la primera dispersión al cierre del ejercicio 2013</w:t>
            </w:r>
            <w:r w:rsidR="00A17DD7">
              <w:rPr>
                <w:rFonts w:ascii="Soberana Sans" w:eastAsia="Times New Roman" w:hAnsi="Soberana Sans" w:cs="Calibri"/>
                <w:color w:val="000000"/>
                <w:szCs w:val="17"/>
                <w:lang w:eastAsia="es-MX"/>
              </w:rPr>
              <w:t>.</w:t>
            </w:r>
          </w:p>
        </w:tc>
        <w:tc>
          <w:tcPr>
            <w:tcW w:w="5519" w:type="dxa"/>
            <w:gridSpan w:val="4"/>
            <w:tcBorders>
              <w:top w:val="single" w:sz="12" w:space="0" w:color="808080"/>
              <w:left w:val="nil"/>
              <w:bottom w:val="single" w:sz="12" w:space="0" w:color="808080"/>
              <w:right w:val="single" w:sz="12" w:space="0" w:color="808080"/>
            </w:tcBorders>
            <w:shd w:val="clear" w:color="000000" w:fill="F2F2F2"/>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25.86</w:t>
            </w:r>
          </w:p>
        </w:tc>
      </w:tr>
    </w:tbl>
    <w:p w:rsidR="00A30FF0" w:rsidRPr="008E570F" w:rsidRDefault="00A30FF0" w:rsidP="00A30FF0">
      <w:pPr>
        <w:spacing w:after="0" w:line="240" w:lineRule="auto"/>
        <w:rPr>
          <w:lang w:val="es-ES_tradnl"/>
        </w:rPr>
      </w:pPr>
      <w:r w:rsidRPr="008E570F">
        <w:rPr>
          <w:lang w:val="es-ES_tradnl"/>
        </w:rPr>
        <w:t>­ NA: No aplica, en tanto que, derivado del año de la línea base y la frecuencia de medición del indicador, no corresponde reportar valor observado del indicador para este año.</w:t>
      </w:r>
    </w:p>
    <w:p w:rsidR="00A30FF0" w:rsidRDefault="00A30FF0" w:rsidP="00A30FF0">
      <w:pPr>
        <w:spacing w:after="0" w:line="240" w:lineRule="auto"/>
        <w:rPr>
          <w:lang w:val="es-ES_tradnl"/>
        </w:rPr>
      </w:pPr>
      <w:r>
        <w:rPr>
          <w:lang w:val="es-ES_tradnl"/>
        </w:rPr>
        <w:br w:type="page"/>
      </w:r>
    </w:p>
    <w:tbl>
      <w:tblPr>
        <w:tblW w:w="9468" w:type="dxa"/>
        <w:tblCellMar>
          <w:left w:w="70" w:type="dxa"/>
          <w:right w:w="70" w:type="dxa"/>
        </w:tblCellMar>
        <w:tblLook w:val="04A0" w:firstRow="1" w:lastRow="0" w:firstColumn="1" w:lastColumn="0" w:noHBand="0" w:noVBand="1"/>
      </w:tblPr>
      <w:tblGrid>
        <w:gridCol w:w="856"/>
        <w:gridCol w:w="1505"/>
        <w:gridCol w:w="1505"/>
        <w:gridCol w:w="1504"/>
        <w:gridCol w:w="1504"/>
        <w:gridCol w:w="1507"/>
        <w:gridCol w:w="1087"/>
      </w:tblGrid>
      <w:tr w:rsidR="00A30FF0" w:rsidRPr="00B31FFC" w:rsidTr="000F6ADC">
        <w:trPr>
          <w:trHeight w:val="166"/>
        </w:trPr>
        <w:tc>
          <w:tcPr>
            <w:tcW w:w="2361" w:type="dxa"/>
            <w:gridSpan w:val="2"/>
            <w:tcBorders>
              <w:top w:val="single" w:sz="12" w:space="0" w:color="808080"/>
              <w:left w:val="single" w:sz="12" w:space="0" w:color="808080"/>
              <w:bottom w:val="nil"/>
              <w:right w:val="single" w:sz="12" w:space="0" w:color="808080"/>
            </w:tcBorders>
            <w:shd w:val="clear" w:color="000000" w:fill="D9D9D9"/>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lastRenderedPageBreak/>
              <w:t> </w:t>
            </w:r>
          </w:p>
        </w:tc>
        <w:tc>
          <w:tcPr>
            <w:tcW w:w="7106" w:type="dxa"/>
            <w:gridSpan w:val="5"/>
            <w:vMerge w:val="restart"/>
            <w:tcBorders>
              <w:top w:val="single" w:sz="12" w:space="0" w:color="808080"/>
              <w:left w:val="single" w:sz="12" w:space="0" w:color="808080"/>
              <w:bottom w:val="single" w:sz="12" w:space="0" w:color="808080"/>
              <w:right w:val="single" w:sz="12" w:space="0" w:color="808080"/>
            </w:tcBorders>
            <w:shd w:val="clear" w:color="000000" w:fill="F2F2F2"/>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Incrementar la inversión en activos fijos para el sector agroalimentario y rural.</w:t>
            </w:r>
          </w:p>
        </w:tc>
      </w:tr>
      <w:tr w:rsidR="00A30FF0" w:rsidRPr="00B31FFC" w:rsidTr="000F6ADC">
        <w:trPr>
          <w:trHeight w:val="158"/>
        </w:trPr>
        <w:tc>
          <w:tcPr>
            <w:tcW w:w="2361" w:type="dxa"/>
            <w:gridSpan w:val="2"/>
            <w:tcBorders>
              <w:top w:val="nil"/>
              <w:left w:val="single" w:sz="12" w:space="0" w:color="808080"/>
              <w:bottom w:val="nil"/>
              <w:right w:val="single" w:sz="12" w:space="0" w:color="808080"/>
            </w:tcBorders>
            <w:shd w:val="clear" w:color="000000" w:fill="D9D9D9"/>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 xml:space="preserve">Objetivo 2. </w:t>
            </w:r>
          </w:p>
        </w:tc>
        <w:tc>
          <w:tcPr>
            <w:tcW w:w="7106" w:type="dxa"/>
            <w:gridSpan w:val="5"/>
            <w:vMerge/>
            <w:tcBorders>
              <w:top w:val="single" w:sz="12" w:space="0" w:color="808080"/>
              <w:left w:val="single" w:sz="12" w:space="0" w:color="808080"/>
              <w:bottom w:val="single" w:sz="12" w:space="0" w:color="808080"/>
              <w:right w:val="single" w:sz="12" w:space="0" w:color="808080"/>
            </w:tcBorders>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p>
        </w:tc>
      </w:tr>
      <w:tr w:rsidR="00A30FF0" w:rsidRPr="00B31FFC" w:rsidTr="000F6ADC">
        <w:trPr>
          <w:trHeight w:val="166"/>
        </w:trPr>
        <w:tc>
          <w:tcPr>
            <w:tcW w:w="2361" w:type="dxa"/>
            <w:gridSpan w:val="2"/>
            <w:tcBorders>
              <w:top w:val="nil"/>
              <w:left w:val="single" w:sz="12" w:space="0" w:color="808080"/>
              <w:bottom w:val="single" w:sz="12" w:space="0" w:color="808080"/>
              <w:right w:val="single" w:sz="12" w:space="0" w:color="808080"/>
            </w:tcBorders>
            <w:shd w:val="clear" w:color="000000" w:fill="D9D9D9"/>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 </w:t>
            </w:r>
          </w:p>
        </w:tc>
        <w:tc>
          <w:tcPr>
            <w:tcW w:w="7106" w:type="dxa"/>
            <w:gridSpan w:val="5"/>
            <w:vMerge/>
            <w:tcBorders>
              <w:top w:val="single" w:sz="12" w:space="0" w:color="808080"/>
              <w:left w:val="single" w:sz="12" w:space="0" w:color="808080"/>
              <w:bottom w:val="single" w:sz="12" w:space="0" w:color="808080"/>
              <w:right w:val="single" w:sz="12" w:space="0" w:color="808080"/>
            </w:tcBorders>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p>
        </w:tc>
      </w:tr>
      <w:tr w:rsidR="00A30FF0" w:rsidRPr="00B31FFC" w:rsidTr="000F6ADC">
        <w:trPr>
          <w:trHeight w:val="166"/>
        </w:trPr>
        <w:tc>
          <w:tcPr>
            <w:tcW w:w="2361" w:type="dxa"/>
            <w:gridSpan w:val="2"/>
            <w:tcBorders>
              <w:top w:val="single" w:sz="12" w:space="0" w:color="808080"/>
              <w:left w:val="single" w:sz="12" w:space="0" w:color="808080"/>
              <w:bottom w:val="nil"/>
              <w:right w:val="single" w:sz="12" w:space="0" w:color="808080"/>
            </w:tcBorders>
            <w:shd w:val="clear" w:color="000000" w:fill="D9D9D9"/>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 </w:t>
            </w:r>
          </w:p>
        </w:tc>
        <w:tc>
          <w:tcPr>
            <w:tcW w:w="7106" w:type="dxa"/>
            <w:gridSpan w:val="5"/>
            <w:vMerge w:val="restart"/>
            <w:tcBorders>
              <w:top w:val="single" w:sz="12" w:space="0" w:color="808080"/>
              <w:left w:val="single" w:sz="12" w:space="0" w:color="808080"/>
              <w:bottom w:val="single" w:sz="12" w:space="0" w:color="808080"/>
              <w:right w:val="single" w:sz="12" w:space="0" w:color="808080"/>
            </w:tcBorders>
            <w:shd w:val="clear" w:color="000000" w:fill="F2F2F2"/>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Proporción de créditos directos otorgados a mediano y largo plazo.</w:t>
            </w:r>
          </w:p>
        </w:tc>
      </w:tr>
      <w:tr w:rsidR="00A30FF0" w:rsidRPr="00B31FFC" w:rsidTr="000F6ADC">
        <w:trPr>
          <w:trHeight w:val="158"/>
        </w:trPr>
        <w:tc>
          <w:tcPr>
            <w:tcW w:w="2361" w:type="dxa"/>
            <w:gridSpan w:val="2"/>
            <w:tcBorders>
              <w:top w:val="nil"/>
              <w:left w:val="single" w:sz="12" w:space="0" w:color="808080"/>
              <w:bottom w:val="nil"/>
              <w:right w:val="single" w:sz="12" w:space="0" w:color="808080"/>
            </w:tcBorders>
            <w:shd w:val="clear" w:color="000000" w:fill="D9D9D9"/>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Nombre del indicador</w:t>
            </w:r>
          </w:p>
        </w:tc>
        <w:tc>
          <w:tcPr>
            <w:tcW w:w="7106" w:type="dxa"/>
            <w:gridSpan w:val="5"/>
            <w:vMerge/>
            <w:tcBorders>
              <w:top w:val="single" w:sz="12" w:space="0" w:color="808080"/>
              <w:left w:val="single" w:sz="12" w:space="0" w:color="808080"/>
              <w:bottom w:val="single" w:sz="12" w:space="0" w:color="808080"/>
              <w:right w:val="single" w:sz="12" w:space="0" w:color="808080"/>
            </w:tcBorders>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p>
        </w:tc>
      </w:tr>
      <w:tr w:rsidR="00A30FF0" w:rsidRPr="00B31FFC" w:rsidTr="000F6ADC">
        <w:trPr>
          <w:trHeight w:val="166"/>
        </w:trPr>
        <w:tc>
          <w:tcPr>
            <w:tcW w:w="2361" w:type="dxa"/>
            <w:gridSpan w:val="2"/>
            <w:tcBorders>
              <w:top w:val="nil"/>
              <w:left w:val="single" w:sz="12" w:space="0" w:color="808080"/>
              <w:bottom w:val="single" w:sz="12" w:space="0" w:color="808080"/>
              <w:right w:val="single" w:sz="12" w:space="0" w:color="808080"/>
            </w:tcBorders>
            <w:shd w:val="clear" w:color="000000" w:fill="D9D9D9"/>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 </w:t>
            </w:r>
          </w:p>
        </w:tc>
        <w:tc>
          <w:tcPr>
            <w:tcW w:w="7106" w:type="dxa"/>
            <w:gridSpan w:val="5"/>
            <w:vMerge/>
            <w:tcBorders>
              <w:top w:val="single" w:sz="12" w:space="0" w:color="808080"/>
              <w:left w:val="single" w:sz="12" w:space="0" w:color="808080"/>
              <w:bottom w:val="single" w:sz="12" w:space="0" w:color="808080"/>
              <w:right w:val="single" w:sz="12" w:space="0" w:color="808080"/>
            </w:tcBorders>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p>
        </w:tc>
      </w:tr>
      <w:tr w:rsidR="00A30FF0" w:rsidRPr="00B31FFC" w:rsidTr="000F6ADC">
        <w:trPr>
          <w:trHeight w:val="166"/>
        </w:trPr>
        <w:tc>
          <w:tcPr>
            <w:tcW w:w="2361" w:type="dxa"/>
            <w:gridSpan w:val="2"/>
            <w:tcBorders>
              <w:top w:val="single" w:sz="12" w:space="0" w:color="808080"/>
              <w:left w:val="single" w:sz="12" w:space="0" w:color="808080"/>
              <w:bottom w:val="nil"/>
              <w:right w:val="single" w:sz="12" w:space="0" w:color="808080"/>
            </w:tcBorders>
            <w:shd w:val="clear" w:color="000000" w:fill="D9D9D9"/>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 </w:t>
            </w:r>
          </w:p>
        </w:tc>
        <w:tc>
          <w:tcPr>
            <w:tcW w:w="7106" w:type="dxa"/>
            <w:gridSpan w:val="5"/>
            <w:vMerge w:val="restart"/>
            <w:tcBorders>
              <w:top w:val="single" w:sz="12" w:space="0" w:color="808080"/>
              <w:left w:val="single" w:sz="12" w:space="0" w:color="808080"/>
              <w:bottom w:val="single" w:sz="12" w:space="0" w:color="808080"/>
              <w:right w:val="single" w:sz="12" w:space="0" w:color="808080"/>
            </w:tcBorders>
            <w:shd w:val="clear" w:color="000000" w:fill="F2F2F2"/>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Informe de Autoevaluación</w:t>
            </w:r>
            <w:r w:rsidR="00A17DD7">
              <w:rPr>
                <w:rFonts w:ascii="Soberana Sans" w:eastAsia="Times New Roman" w:hAnsi="Soberana Sans" w:cs="Calibri"/>
                <w:color w:val="000000"/>
                <w:szCs w:val="17"/>
                <w:lang w:eastAsia="es-MX"/>
              </w:rPr>
              <w:t>.</w:t>
            </w:r>
            <w:r w:rsidRPr="00B31FFC">
              <w:rPr>
                <w:rFonts w:ascii="Soberana Sans" w:eastAsia="Times New Roman" w:hAnsi="Soberana Sans" w:cs="Calibri"/>
                <w:color w:val="000000"/>
                <w:szCs w:val="17"/>
                <w:lang w:eastAsia="es-MX"/>
              </w:rPr>
              <w:t xml:space="preserve">  </w:t>
            </w:r>
          </w:p>
        </w:tc>
      </w:tr>
      <w:tr w:rsidR="00A30FF0" w:rsidRPr="00B31FFC" w:rsidTr="000F6ADC">
        <w:trPr>
          <w:trHeight w:val="237"/>
        </w:trPr>
        <w:tc>
          <w:tcPr>
            <w:tcW w:w="2361" w:type="dxa"/>
            <w:gridSpan w:val="2"/>
            <w:tcBorders>
              <w:top w:val="nil"/>
              <w:left w:val="single" w:sz="12" w:space="0" w:color="808080"/>
              <w:bottom w:val="nil"/>
              <w:right w:val="single" w:sz="12" w:space="0" w:color="808080"/>
            </w:tcBorders>
            <w:shd w:val="clear" w:color="000000" w:fill="D9D9D9"/>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Fuente de información o medio de verificación</w:t>
            </w:r>
          </w:p>
        </w:tc>
        <w:tc>
          <w:tcPr>
            <w:tcW w:w="7106" w:type="dxa"/>
            <w:gridSpan w:val="5"/>
            <w:vMerge/>
            <w:tcBorders>
              <w:top w:val="single" w:sz="12" w:space="0" w:color="808080"/>
              <w:left w:val="single" w:sz="12" w:space="0" w:color="808080"/>
              <w:bottom w:val="single" w:sz="12" w:space="0" w:color="808080"/>
              <w:right w:val="single" w:sz="12" w:space="0" w:color="808080"/>
            </w:tcBorders>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p>
        </w:tc>
      </w:tr>
      <w:tr w:rsidR="00A30FF0" w:rsidRPr="00B31FFC" w:rsidTr="000F6ADC">
        <w:trPr>
          <w:trHeight w:val="166"/>
        </w:trPr>
        <w:tc>
          <w:tcPr>
            <w:tcW w:w="2361" w:type="dxa"/>
            <w:gridSpan w:val="2"/>
            <w:tcBorders>
              <w:top w:val="nil"/>
              <w:left w:val="single" w:sz="12" w:space="0" w:color="808080"/>
              <w:bottom w:val="single" w:sz="12" w:space="0" w:color="808080"/>
              <w:right w:val="single" w:sz="12" w:space="0" w:color="808080"/>
            </w:tcBorders>
            <w:shd w:val="clear" w:color="000000" w:fill="D9D9D9"/>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 </w:t>
            </w:r>
          </w:p>
        </w:tc>
        <w:tc>
          <w:tcPr>
            <w:tcW w:w="7106" w:type="dxa"/>
            <w:gridSpan w:val="5"/>
            <w:vMerge/>
            <w:tcBorders>
              <w:top w:val="single" w:sz="12" w:space="0" w:color="808080"/>
              <w:left w:val="single" w:sz="12" w:space="0" w:color="808080"/>
              <w:bottom w:val="single" w:sz="12" w:space="0" w:color="808080"/>
              <w:right w:val="single" w:sz="12" w:space="0" w:color="808080"/>
            </w:tcBorders>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p>
        </w:tc>
      </w:tr>
      <w:tr w:rsidR="00A30FF0" w:rsidRPr="00B31FFC" w:rsidTr="000F6ADC">
        <w:trPr>
          <w:trHeight w:val="357"/>
        </w:trPr>
        <w:tc>
          <w:tcPr>
            <w:tcW w:w="2361" w:type="dxa"/>
            <w:gridSpan w:val="2"/>
            <w:tcBorders>
              <w:top w:val="single" w:sz="12" w:space="0" w:color="808080"/>
              <w:left w:val="single" w:sz="12" w:space="0" w:color="808080"/>
              <w:bottom w:val="single" w:sz="12" w:space="0" w:color="808080"/>
              <w:right w:val="single" w:sz="12" w:space="0" w:color="808080"/>
            </w:tcBorders>
            <w:shd w:val="clear" w:color="000000" w:fill="D9D9D9"/>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Dirección electrónica donde puede verificarse el valor del indicador</w:t>
            </w:r>
          </w:p>
        </w:tc>
        <w:tc>
          <w:tcPr>
            <w:tcW w:w="7106" w:type="dxa"/>
            <w:gridSpan w:val="5"/>
            <w:tcBorders>
              <w:top w:val="single" w:sz="12" w:space="0" w:color="808080"/>
              <w:left w:val="nil"/>
              <w:bottom w:val="single" w:sz="12" w:space="0" w:color="808080"/>
              <w:right w:val="single" w:sz="12" w:space="0" w:color="808080"/>
            </w:tcBorders>
            <w:shd w:val="clear" w:color="000000" w:fill="F2F2F2"/>
            <w:vAlign w:val="center"/>
            <w:hideMark/>
          </w:tcPr>
          <w:p w:rsidR="00A30FF0" w:rsidRPr="00B31FFC" w:rsidRDefault="00D45EA0" w:rsidP="000F6ADC">
            <w:pPr>
              <w:spacing w:after="0" w:line="240" w:lineRule="auto"/>
              <w:rPr>
                <w:rFonts w:ascii="Calibri" w:eastAsia="Times New Roman" w:hAnsi="Calibri" w:cs="Calibri"/>
                <w:color w:val="0563C1"/>
                <w:sz w:val="22"/>
                <w:u w:val="single"/>
                <w:lang w:eastAsia="es-MX"/>
              </w:rPr>
            </w:pPr>
            <w:hyperlink r:id="rId22" w:history="1">
              <w:r w:rsidR="00A30FF0" w:rsidRPr="00B31FFC">
                <w:rPr>
                  <w:rFonts w:ascii="Soberana Sans" w:eastAsia="Times New Roman" w:hAnsi="Soberana Sans" w:cs="Calibri"/>
                  <w:color w:val="000000"/>
                  <w:szCs w:val="17"/>
                  <w:lang w:eastAsia="es-MX"/>
                </w:rPr>
                <w:t>www.gob.mx/fnd</w:t>
              </w:r>
            </w:hyperlink>
          </w:p>
        </w:tc>
      </w:tr>
      <w:tr w:rsidR="00A30FF0" w:rsidRPr="00B31FFC" w:rsidTr="000F6ADC">
        <w:trPr>
          <w:trHeight w:val="301"/>
        </w:trPr>
        <w:tc>
          <w:tcPr>
            <w:tcW w:w="856" w:type="dxa"/>
            <w:tcBorders>
              <w:top w:val="nil"/>
              <w:left w:val="single" w:sz="12" w:space="0" w:color="808080"/>
              <w:bottom w:val="single" w:sz="12" w:space="0" w:color="808080"/>
              <w:right w:val="single" w:sz="12" w:space="0" w:color="808080"/>
            </w:tcBorders>
            <w:shd w:val="clear" w:color="000000" w:fill="D9D9D9"/>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 xml:space="preserve">Línea base </w:t>
            </w:r>
          </w:p>
        </w:tc>
        <w:tc>
          <w:tcPr>
            <w:tcW w:w="1505" w:type="dxa"/>
            <w:vMerge w:val="restart"/>
            <w:tcBorders>
              <w:top w:val="nil"/>
              <w:left w:val="single" w:sz="12" w:space="0" w:color="808080"/>
              <w:bottom w:val="single" w:sz="12" w:space="0" w:color="808080"/>
              <w:right w:val="single" w:sz="12" w:space="0" w:color="808080"/>
            </w:tcBorders>
            <w:shd w:val="clear" w:color="000000" w:fill="D9D9D9"/>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Valor observado del indicador en 2013</w:t>
            </w:r>
          </w:p>
        </w:tc>
        <w:tc>
          <w:tcPr>
            <w:tcW w:w="1504" w:type="dxa"/>
            <w:vMerge w:val="restart"/>
            <w:tcBorders>
              <w:top w:val="nil"/>
              <w:left w:val="single" w:sz="12" w:space="0" w:color="808080"/>
              <w:bottom w:val="single" w:sz="12" w:space="0" w:color="808080"/>
              <w:right w:val="single" w:sz="12" w:space="0" w:color="808080"/>
            </w:tcBorders>
            <w:shd w:val="clear" w:color="000000" w:fill="D9D9D9"/>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Valor observado del indicador en 2014</w:t>
            </w:r>
          </w:p>
        </w:tc>
        <w:tc>
          <w:tcPr>
            <w:tcW w:w="1504" w:type="dxa"/>
            <w:vMerge w:val="restart"/>
            <w:tcBorders>
              <w:top w:val="nil"/>
              <w:left w:val="single" w:sz="12" w:space="0" w:color="808080"/>
              <w:bottom w:val="single" w:sz="12" w:space="0" w:color="808080"/>
              <w:right w:val="single" w:sz="12" w:space="0" w:color="808080"/>
            </w:tcBorders>
            <w:shd w:val="clear" w:color="000000" w:fill="D9D9D9"/>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Valor observado del indicador en 2015</w:t>
            </w:r>
          </w:p>
        </w:tc>
        <w:tc>
          <w:tcPr>
            <w:tcW w:w="1504" w:type="dxa"/>
            <w:vMerge w:val="restart"/>
            <w:tcBorders>
              <w:top w:val="nil"/>
              <w:left w:val="single" w:sz="12" w:space="0" w:color="808080"/>
              <w:bottom w:val="single" w:sz="12" w:space="0" w:color="808080"/>
              <w:right w:val="single" w:sz="12" w:space="0" w:color="808080"/>
            </w:tcBorders>
            <w:shd w:val="clear" w:color="000000" w:fill="D9D9D9"/>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Valor observado del indicador en 2016</w:t>
            </w:r>
          </w:p>
        </w:tc>
        <w:tc>
          <w:tcPr>
            <w:tcW w:w="1505" w:type="dxa"/>
            <w:vMerge w:val="restart"/>
            <w:tcBorders>
              <w:top w:val="nil"/>
              <w:left w:val="single" w:sz="12" w:space="0" w:color="808080"/>
              <w:bottom w:val="single" w:sz="12" w:space="0" w:color="808080"/>
              <w:right w:val="single" w:sz="12" w:space="0" w:color="808080"/>
            </w:tcBorders>
            <w:shd w:val="clear" w:color="000000" w:fill="D9D9D9"/>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Valor observado del indicador en 2017</w:t>
            </w:r>
          </w:p>
        </w:tc>
        <w:tc>
          <w:tcPr>
            <w:tcW w:w="1086" w:type="dxa"/>
            <w:vMerge w:val="restart"/>
            <w:tcBorders>
              <w:top w:val="nil"/>
              <w:left w:val="single" w:sz="12" w:space="0" w:color="808080"/>
              <w:bottom w:val="single" w:sz="12" w:space="0" w:color="808080"/>
              <w:right w:val="single" w:sz="12" w:space="0" w:color="808080"/>
            </w:tcBorders>
            <w:shd w:val="clear" w:color="000000" w:fill="D9D9D9"/>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Meta 2018</w:t>
            </w:r>
          </w:p>
        </w:tc>
      </w:tr>
      <w:tr w:rsidR="00A30FF0" w:rsidRPr="00B31FFC" w:rsidTr="000F6ADC">
        <w:trPr>
          <w:trHeight w:val="174"/>
        </w:trPr>
        <w:tc>
          <w:tcPr>
            <w:tcW w:w="856" w:type="dxa"/>
            <w:tcBorders>
              <w:top w:val="nil"/>
              <w:left w:val="single" w:sz="12" w:space="0" w:color="808080"/>
              <w:bottom w:val="single" w:sz="12" w:space="0" w:color="808080"/>
              <w:right w:val="single" w:sz="12" w:space="0" w:color="808080"/>
            </w:tcBorders>
            <w:shd w:val="clear" w:color="000000" w:fill="F2F2F2"/>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2013</w:t>
            </w:r>
          </w:p>
        </w:tc>
        <w:tc>
          <w:tcPr>
            <w:tcW w:w="1505" w:type="dxa"/>
            <w:vMerge/>
            <w:tcBorders>
              <w:top w:val="nil"/>
              <w:left w:val="single" w:sz="12" w:space="0" w:color="808080"/>
              <w:bottom w:val="single" w:sz="12" w:space="0" w:color="808080"/>
              <w:right w:val="single" w:sz="12" w:space="0" w:color="808080"/>
            </w:tcBorders>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p>
        </w:tc>
        <w:tc>
          <w:tcPr>
            <w:tcW w:w="1504" w:type="dxa"/>
            <w:vMerge/>
            <w:tcBorders>
              <w:top w:val="nil"/>
              <w:left w:val="single" w:sz="12" w:space="0" w:color="808080"/>
              <w:bottom w:val="single" w:sz="12" w:space="0" w:color="808080"/>
              <w:right w:val="single" w:sz="12" w:space="0" w:color="808080"/>
            </w:tcBorders>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p>
        </w:tc>
        <w:tc>
          <w:tcPr>
            <w:tcW w:w="1504" w:type="dxa"/>
            <w:vMerge/>
            <w:tcBorders>
              <w:top w:val="nil"/>
              <w:left w:val="single" w:sz="12" w:space="0" w:color="808080"/>
              <w:bottom w:val="single" w:sz="12" w:space="0" w:color="808080"/>
              <w:right w:val="single" w:sz="12" w:space="0" w:color="808080"/>
            </w:tcBorders>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p>
        </w:tc>
        <w:tc>
          <w:tcPr>
            <w:tcW w:w="1504" w:type="dxa"/>
            <w:vMerge/>
            <w:tcBorders>
              <w:top w:val="nil"/>
              <w:left w:val="single" w:sz="12" w:space="0" w:color="808080"/>
              <w:bottom w:val="single" w:sz="12" w:space="0" w:color="808080"/>
              <w:right w:val="single" w:sz="12" w:space="0" w:color="808080"/>
            </w:tcBorders>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p>
        </w:tc>
        <w:tc>
          <w:tcPr>
            <w:tcW w:w="1505" w:type="dxa"/>
            <w:vMerge/>
            <w:tcBorders>
              <w:top w:val="nil"/>
              <w:left w:val="single" w:sz="12" w:space="0" w:color="808080"/>
              <w:bottom w:val="single" w:sz="12" w:space="0" w:color="808080"/>
              <w:right w:val="single" w:sz="12" w:space="0" w:color="808080"/>
            </w:tcBorders>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p>
        </w:tc>
        <w:tc>
          <w:tcPr>
            <w:tcW w:w="1086" w:type="dxa"/>
            <w:vMerge/>
            <w:tcBorders>
              <w:top w:val="nil"/>
              <w:left w:val="single" w:sz="12" w:space="0" w:color="808080"/>
              <w:bottom w:val="single" w:sz="12" w:space="0" w:color="808080"/>
              <w:right w:val="single" w:sz="12" w:space="0" w:color="808080"/>
            </w:tcBorders>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p>
        </w:tc>
      </w:tr>
      <w:tr w:rsidR="00A30FF0" w:rsidRPr="00B31FFC" w:rsidTr="000F6ADC">
        <w:trPr>
          <w:trHeight w:val="215"/>
        </w:trPr>
        <w:tc>
          <w:tcPr>
            <w:tcW w:w="856" w:type="dxa"/>
            <w:vMerge w:val="restart"/>
            <w:tcBorders>
              <w:top w:val="nil"/>
              <w:left w:val="single" w:sz="12" w:space="0" w:color="808080"/>
              <w:bottom w:val="single" w:sz="12" w:space="0" w:color="808080"/>
              <w:right w:val="single" w:sz="12" w:space="0" w:color="808080"/>
            </w:tcBorders>
            <w:shd w:val="clear" w:color="000000" w:fill="F2F2F2"/>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37.4</w:t>
            </w:r>
          </w:p>
        </w:tc>
        <w:tc>
          <w:tcPr>
            <w:tcW w:w="1505" w:type="dxa"/>
            <w:vMerge w:val="restart"/>
            <w:tcBorders>
              <w:top w:val="nil"/>
              <w:left w:val="single" w:sz="12" w:space="0" w:color="808080"/>
              <w:bottom w:val="single" w:sz="12" w:space="0" w:color="808080"/>
              <w:right w:val="single" w:sz="12" w:space="0" w:color="808080"/>
            </w:tcBorders>
            <w:shd w:val="clear" w:color="000000" w:fill="F2F2F2"/>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N/A</w:t>
            </w:r>
          </w:p>
        </w:tc>
        <w:tc>
          <w:tcPr>
            <w:tcW w:w="1504" w:type="dxa"/>
            <w:vMerge w:val="restart"/>
            <w:tcBorders>
              <w:top w:val="nil"/>
              <w:left w:val="single" w:sz="12" w:space="0" w:color="808080"/>
              <w:bottom w:val="single" w:sz="12" w:space="0" w:color="808080"/>
              <w:right w:val="single" w:sz="12" w:space="0" w:color="808080"/>
            </w:tcBorders>
            <w:shd w:val="clear" w:color="000000" w:fill="F2F2F2"/>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36.7</w:t>
            </w:r>
          </w:p>
        </w:tc>
        <w:tc>
          <w:tcPr>
            <w:tcW w:w="1504" w:type="dxa"/>
            <w:vMerge w:val="restart"/>
            <w:tcBorders>
              <w:top w:val="nil"/>
              <w:left w:val="single" w:sz="12" w:space="0" w:color="808080"/>
              <w:bottom w:val="single" w:sz="12" w:space="0" w:color="808080"/>
              <w:right w:val="single" w:sz="12" w:space="0" w:color="808080"/>
            </w:tcBorders>
            <w:shd w:val="clear" w:color="000000" w:fill="F2F2F2"/>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46.7</w:t>
            </w:r>
          </w:p>
        </w:tc>
        <w:tc>
          <w:tcPr>
            <w:tcW w:w="1504" w:type="dxa"/>
            <w:vMerge w:val="restart"/>
            <w:tcBorders>
              <w:top w:val="nil"/>
              <w:left w:val="single" w:sz="12" w:space="0" w:color="808080"/>
              <w:bottom w:val="single" w:sz="12" w:space="0" w:color="808080"/>
              <w:right w:val="single" w:sz="12" w:space="0" w:color="808080"/>
            </w:tcBorders>
            <w:shd w:val="clear" w:color="000000" w:fill="F2F2F2"/>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47.4</w:t>
            </w:r>
          </w:p>
        </w:tc>
        <w:tc>
          <w:tcPr>
            <w:tcW w:w="1505" w:type="dxa"/>
            <w:vMerge w:val="restart"/>
            <w:tcBorders>
              <w:top w:val="nil"/>
              <w:left w:val="single" w:sz="12" w:space="0" w:color="808080"/>
              <w:bottom w:val="single" w:sz="12" w:space="0" w:color="808080"/>
              <w:right w:val="single" w:sz="12" w:space="0" w:color="808080"/>
            </w:tcBorders>
            <w:shd w:val="clear" w:color="000000" w:fill="F2F2F2"/>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45.8</w:t>
            </w:r>
          </w:p>
        </w:tc>
        <w:tc>
          <w:tcPr>
            <w:tcW w:w="1086" w:type="dxa"/>
            <w:vMerge w:val="restart"/>
            <w:tcBorders>
              <w:top w:val="nil"/>
              <w:left w:val="single" w:sz="12" w:space="0" w:color="808080"/>
              <w:bottom w:val="single" w:sz="12" w:space="0" w:color="808080"/>
              <w:right w:val="single" w:sz="12" w:space="0" w:color="808080"/>
            </w:tcBorders>
            <w:shd w:val="clear" w:color="000000" w:fill="F2F2F2"/>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50</w:t>
            </w:r>
          </w:p>
        </w:tc>
      </w:tr>
      <w:tr w:rsidR="00A30FF0" w:rsidRPr="00B31FFC" w:rsidTr="000F6ADC">
        <w:trPr>
          <w:trHeight w:val="315"/>
        </w:trPr>
        <w:tc>
          <w:tcPr>
            <w:tcW w:w="856" w:type="dxa"/>
            <w:vMerge/>
            <w:tcBorders>
              <w:top w:val="nil"/>
              <w:left w:val="single" w:sz="12" w:space="0" w:color="808080"/>
              <w:bottom w:val="single" w:sz="12" w:space="0" w:color="808080"/>
              <w:right w:val="single" w:sz="12" w:space="0" w:color="808080"/>
            </w:tcBorders>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p>
        </w:tc>
        <w:tc>
          <w:tcPr>
            <w:tcW w:w="1505" w:type="dxa"/>
            <w:vMerge/>
            <w:tcBorders>
              <w:top w:val="nil"/>
              <w:left w:val="single" w:sz="12" w:space="0" w:color="808080"/>
              <w:bottom w:val="single" w:sz="12" w:space="0" w:color="808080"/>
              <w:right w:val="single" w:sz="12" w:space="0" w:color="808080"/>
            </w:tcBorders>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p>
        </w:tc>
        <w:tc>
          <w:tcPr>
            <w:tcW w:w="1504" w:type="dxa"/>
            <w:vMerge/>
            <w:tcBorders>
              <w:top w:val="nil"/>
              <w:left w:val="single" w:sz="12" w:space="0" w:color="808080"/>
              <w:bottom w:val="single" w:sz="12" w:space="0" w:color="808080"/>
              <w:right w:val="single" w:sz="12" w:space="0" w:color="808080"/>
            </w:tcBorders>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p>
        </w:tc>
        <w:tc>
          <w:tcPr>
            <w:tcW w:w="1504" w:type="dxa"/>
            <w:vMerge/>
            <w:tcBorders>
              <w:top w:val="nil"/>
              <w:left w:val="single" w:sz="12" w:space="0" w:color="808080"/>
              <w:bottom w:val="single" w:sz="12" w:space="0" w:color="808080"/>
              <w:right w:val="single" w:sz="12" w:space="0" w:color="808080"/>
            </w:tcBorders>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p>
        </w:tc>
        <w:tc>
          <w:tcPr>
            <w:tcW w:w="1504" w:type="dxa"/>
            <w:vMerge/>
            <w:tcBorders>
              <w:top w:val="nil"/>
              <w:left w:val="single" w:sz="12" w:space="0" w:color="808080"/>
              <w:bottom w:val="single" w:sz="12" w:space="0" w:color="808080"/>
              <w:right w:val="single" w:sz="12" w:space="0" w:color="808080"/>
            </w:tcBorders>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p>
        </w:tc>
        <w:tc>
          <w:tcPr>
            <w:tcW w:w="1505" w:type="dxa"/>
            <w:vMerge/>
            <w:tcBorders>
              <w:top w:val="nil"/>
              <w:left w:val="single" w:sz="12" w:space="0" w:color="808080"/>
              <w:bottom w:val="single" w:sz="12" w:space="0" w:color="808080"/>
              <w:right w:val="single" w:sz="12" w:space="0" w:color="808080"/>
            </w:tcBorders>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p>
        </w:tc>
        <w:tc>
          <w:tcPr>
            <w:tcW w:w="1086" w:type="dxa"/>
            <w:vMerge/>
            <w:tcBorders>
              <w:top w:val="nil"/>
              <w:left w:val="single" w:sz="12" w:space="0" w:color="808080"/>
              <w:bottom w:val="single" w:sz="12" w:space="0" w:color="808080"/>
              <w:right w:val="single" w:sz="12" w:space="0" w:color="808080"/>
            </w:tcBorders>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p>
        </w:tc>
      </w:tr>
      <w:tr w:rsidR="00A30FF0" w:rsidRPr="00B31FFC" w:rsidTr="000F6ADC">
        <w:trPr>
          <w:trHeight w:val="253"/>
        </w:trPr>
        <w:tc>
          <w:tcPr>
            <w:tcW w:w="3866" w:type="dxa"/>
            <w:gridSpan w:val="3"/>
            <w:tcBorders>
              <w:top w:val="single" w:sz="12" w:space="0" w:color="808080"/>
              <w:left w:val="single" w:sz="12" w:space="0" w:color="808080"/>
              <w:bottom w:val="single" w:sz="12" w:space="0" w:color="808080"/>
              <w:right w:val="single" w:sz="12" w:space="0" w:color="808080"/>
            </w:tcBorders>
            <w:shd w:val="clear" w:color="000000" w:fill="D9D9D9"/>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Método de cálculo</w:t>
            </w:r>
          </w:p>
        </w:tc>
        <w:tc>
          <w:tcPr>
            <w:tcW w:w="4515" w:type="dxa"/>
            <w:gridSpan w:val="3"/>
            <w:tcBorders>
              <w:top w:val="single" w:sz="12" w:space="0" w:color="808080"/>
              <w:left w:val="nil"/>
              <w:bottom w:val="single" w:sz="12" w:space="0" w:color="808080"/>
              <w:right w:val="single" w:sz="12" w:space="0" w:color="808080"/>
            </w:tcBorders>
            <w:shd w:val="clear" w:color="000000" w:fill="D9D9D9"/>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Unidad de Medida</w:t>
            </w:r>
          </w:p>
        </w:tc>
        <w:tc>
          <w:tcPr>
            <w:tcW w:w="1086" w:type="dxa"/>
            <w:tcBorders>
              <w:top w:val="nil"/>
              <w:left w:val="nil"/>
              <w:bottom w:val="single" w:sz="12" w:space="0" w:color="808080"/>
              <w:right w:val="single" w:sz="12" w:space="0" w:color="808080"/>
            </w:tcBorders>
            <w:shd w:val="clear" w:color="000000" w:fill="D9D9D9"/>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Frecuencia de medición</w:t>
            </w:r>
          </w:p>
        </w:tc>
      </w:tr>
      <w:tr w:rsidR="00A30FF0" w:rsidRPr="00B31FFC" w:rsidTr="000F6ADC">
        <w:trPr>
          <w:trHeight w:val="628"/>
        </w:trPr>
        <w:tc>
          <w:tcPr>
            <w:tcW w:w="3866" w:type="dxa"/>
            <w:gridSpan w:val="3"/>
            <w:tcBorders>
              <w:top w:val="single" w:sz="12" w:space="0" w:color="808080"/>
              <w:left w:val="single" w:sz="12" w:space="0" w:color="808080"/>
              <w:bottom w:val="single" w:sz="12" w:space="0" w:color="808080"/>
              <w:right w:val="single" w:sz="12" w:space="0" w:color="808080"/>
            </w:tcBorders>
            <w:shd w:val="clear" w:color="000000" w:fill="F2F2F2"/>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Total del saldo en créditos directos otorgados a mediano y largo plazo entre el total del saldo al cierre ejercicio.</w:t>
            </w:r>
          </w:p>
        </w:tc>
        <w:tc>
          <w:tcPr>
            <w:tcW w:w="4515" w:type="dxa"/>
            <w:gridSpan w:val="3"/>
            <w:tcBorders>
              <w:top w:val="single" w:sz="12" w:space="0" w:color="808080"/>
              <w:left w:val="nil"/>
              <w:bottom w:val="single" w:sz="12" w:space="0" w:color="808080"/>
              <w:right w:val="single" w:sz="12" w:space="0" w:color="808080"/>
            </w:tcBorders>
            <w:shd w:val="clear" w:color="000000" w:fill="F2F2F2"/>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porcentaje</w:t>
            </w:r>
          </w:p>
        </w:tc>
        <w:tc>
          <w:tcPr>
            <w:tcW w:w="1086" w:type="dxa"/>
            <w:tcBorders>
              <w:top w:val="nil"/>
              <w:left w:val="nil"/>
              <w:bottom w:val="single" w:sz="12" w:space="0" w:color="808080"/>
              <w:right w:val="single" w:sz="12" w:space="0" w:color="808080"/>
            </w:tcBorders>
            <w:shd w:val="clear" w:color="000000" w:fill="F2F2F2"/>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Anual</w:t>
            </w:r>
          </w:p>
        </w:tc>
      </w:tr>
      <w:tr w:rsidR="00A30FF0" w:rsidRPr="00B31FFC" w:rsidTr="000F6ADC">
        <w:trPr>
          <w:trHeight w:val="174"/>
        </w:trPr>
        <w:tc>
          <w:tcPr>
            <w:tcW w:w="3866" w:type="dxa"/>
            <w:gridSpan w:val="3"/>
            <w:tcBorders>
              <w:top w:val="single" w:sz="12" w:space="0" w:color="808080"/>
              <w:left w:val="single" w:sz="12" w:space="0" w:color="808080"/>
              <w:bottom w:val="single" w:sz="12" w:space="0" w:color="808080"/>
              <w:right w:val="single" w:sz="12" w:space="0" w:color="808080"/>
            </w:tcBorders>
            <w:shd w:val="clear" w:color="000000" w:fill="D9D9D9"/>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Nombre de la variable 1</w:t>
            </w:r>
          </w:p>
        </w:tc>
        <w:tc>
          <w:tcPr>
            <w:tcW w:w="5602" w:type="dxa"/>
            <w:gridSpan w:val="4"/>
            <w:tcBorders>
              <w:top w:val="single" w:sz="12" w:space="0" w:color="808080"/>
              <w:left w:val="nil"/>
              <w:bottom w:val="single" w:sz="12" w:space="0" w:color="808080"/>
              <w:right w:val="single" w:sz="12" w:space="0" w:color="808080"/>
            </w:tcBorders>
            <w:shd w:val="clear" w:color="000000" w:fill="D9D9D9"/>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Valor observado de la variable 1 en 2017</w:t>
            </w:r>
          </w:p>
        </w:tc>
      </w:tr>
      <w:tr w:rsidR="00A30FF0" w:rsidRPr="00B31FFC" w:rsidTr="000F6ADC">
        <w:trPr>
          <w:trHeight w:val="309"/>
        </w:trPr>
        <w:tc>
          <w:tcPr>
            <w:tcW w:w="3866" w:type="dxa"/>
            <w:gridSpan w:val="3"/>
            <w:tcBorders>
              <w:top w:val="single" w:sz="12" w:space="0" w:color="808080"/>
              <w:left w:val="single" w:sz="12" w:space="0" w:color="808080"/>
              <w:bottom w:val="single" w:sz="12" w:space="0" w:color="808080"/>
              <w:right w:val="single" w:sz="12" w:space="0" w:color="808080"/>
            </w:tcBorders>
            <w:shd w:val="clear" w:color="000000" w:fill="F2F2F2"/>
            <w:vAlign w:val="center"/>
            <w:hideMark/>
          </w:tcPr>
          <w:p w:rsidR="00A30FF0" w:rsidRPr="00B31FFC" w:rsidRDefault="00A30FF0" w:rsidP="005220A8">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Total del saldo en créditos directos otorgados a mediano y largo plazo al cierre ejercicio.</w:t>
            </w:r>
          </w:p>
        </w:tc>
        <w:tc>
          <w:tcPr>
            <w:tcW w:w="5602" w:type="dxa"/>
            <w:gridSpan w:val="4"/>
            <w:tcBorders>
              <w:top w:val="single" w:sz="12" w:space="0" w:color="808080"/>
              <w:left w:val="nil"/>
              <w:bottom w:val="single" w:sz="12" w:space="0" w:color="808080"/>
              <w:right w:val="single" w:sz="12" w:space="0" w:color="808080"/>
            </w:tcBorders>
            <w:shd w:val="clear" w:color="000000" w:fill="F2F2F2"/>
            <w:vAlign w:val="center"/>
            <w:hideMark/>
          </w:tcPr>
          <w:p w:rsidR="00A30FF0" w:rsidRPr="00B31FFC" w:rsidRDefault="00A30FF0" w:rsidP="00590A31">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26,565.6</w:t>
            </w:r>
          </w:p>
        </w:tc>
      </w:tr>
      <w:tr w:rsidR="00A30FF0" w:rsidRPr="00B31FFC" w:rsidTr="000F6ADC">
        <w:trPr>
          <w:trHeight w:val="174"/>
        </w:trPr>
        <w:tc>
          <w:tcPr>
            <w:tcW w:w="3866" w:type="dxa"/>
            <w:gridSpan w:val="3"/>
            <w:tcBorders>
              <w:top w:val="single" w:sz="12" w:space="0" w:color="808080"/>
              <w:left w:val="single" w:sz="12" w:space="0" w:color="808080"/>
              <w:bottom w:val="single" w:sz="12" w:space="0" w:color="808080"/>
              <w:right w:val="single" w:sz="12" w:space="0" w:color="808080"/>
            </w:tcBorders>
            <w:shd w:val="clear" w:color="000000" w:fill="D9D9D9"/>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Nombre de la variable 2</w:t>
            </w:r>
          </w:p>
        </w:tc>
        <w:tc>
          <w:tcPr>
            <w:tcW w:w="5602" w:type="dxa"/>
            <w:gridSpan w:val="4"/>
            <w:tcBorders>
              <w:top w:val="single" w:sz="12" w:space="0" w:color="808080"/>
              <w:left w:val="nil"/>
              <w:bottom w:val="single" w:sz="12" w:space="0" w:color="808080"/>
              <w:right w:val="single" w:sz="12" w:space="0" w:color="808080"/>
            </w:tcBorders>
            <w:shd w:val="clear" w:color="000000" w:fill="D9D9D9"/>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Valor observado de la variable 2 en 2017</w:t>
            </w:r>
          </w:p>
        </w:tc>
      </w:tr>
      <w:tr w:rsidR="00A30FF0" w:rsidRPr="00B31FFC" w:rsidTr="00590A31">
        <w:trPr>
          <w:trHeight w:val="373"/>
        </w:trPr>
        <w:tc>
          <w:tcPr>
            <w:tcW w:w="3866" w:type="dxa"/>
            <w:gridSpan w:val="3"/>
            <w:tcBorders>
              <w:top w:val="single" w:sz="12" w:space="0" w:color="808080"/>
              <w:left w:val="single" w:sz="12" w:space="0" w:color="808080"/>
              <w:bottom w:val="single" w:sz="12" w:space="0" w:color="808080"/>
              <w:right w:val="single" w:sz="12" w:space="0" w:color="808080"/>
            </w:tcBorders>
            <w:shd w:val="clear" w:color="000000" w:fill="F2F2F2"/>
            <w:vAlign w:val="center"/>
            <w:hideMark/>
          </w:tcPr>
          <w:p w:rsidR="00A30FF0" w:rsidRPr="00B31FFC" w:rsidRDefault="00A30FF0" w:rsidP="005220A8">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Total del saldo en créditos en cartera</w:t>
            </w:r>
            <w:r w:rsidR="00A17DD7">
              <w:rPr>
                <w:rFonts w:ascii="Soberana Sans" w:eastAsia="Times New Roman" w:hAnsi="Soberana Sans" w:cs="Calibri"/>
                <w:color w:val="000000"/>
                <w:szCs w:val="17"/>
                <w:lang w:eastAsia="es-MX"/>
              </w:rPr>
              <w:t>.</w:t>
            </w:r>
          </w:p>
        </w:tc>
        <w:tc>
          <w:tcPr>
            <w:tcW w:w="5602" w:type="dxa"/>
            <w:gridSpan w:val="4"/>
            <w:tcBorders>
              <w:top w:val="single" w:sz="12" w:space="0" w:color="808080"/>
              <w:left w:val="nil"/>
              <w:bottom w:val="single" w:sz="12" w:space="0" w:color="808080"/>
              <w:right w:val="single" w:sz="12" w:space="0" w:color="808080"/>
            </w:tcBorders>
            <w:shd w:val="clear" w:color="000000" w:fill="F2F2F2"/>
            <w:vAlign w:val="center"/>
            <w:hideMark/>
          </w:tcPr>
          <w:p w:rsidR="00A30FF0" w:rsidRPr="00B31FFC" w:rsidRDefault="00A30FF0" w:rsidP="00590A31">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58,016</w:t>
            </w:r>
          </w:p>
        </w:tc>
      </w:tr>
    </w:tbl>
    <w:p w:rsidR="00A30FF0" w:rsidRPr="008E570F" w:rsidRDefault="00A30FF0" w:rsidP="00A30FF0">
      <w:pPr>
        <w:spacing w:after="0" w:line="240" w:lineRule="auto"/>
        <w:rPr>
          <w:lang w:val="es-ES_tradnl"/>
        </w:rPr>
      </w:pPr>
      <w:r w:rsidRPr="008E570F">
        <w:rPr>
          <w:lang w:val="es-ES_tradnl"/>
        </w:rPr>
        <w:t>­ NA: No aplica, en tanto que, derivado del año de la línea base y la frecuencia de medición del indicador, no corresponde reportar valor observado del indicador para este año.</w:t>
      </w:r>
    </w:p>
    <w:p w:rsidR="00A30FF0" w:rsidRDefault="00A30FF0" w:rsidP="00A30FF0">
      <w:pPr>
        <w:spacing w:after="0" w:line="240" w:lineRule="auto"/>
        <w:rPr>
          <w:lang w:val="es-ES_tradnl"/>
        </w:rPr>
      </w:pPr>
      <w:r>
        <w:rPr>
          <w:lang w:val="es-ES_tradnl"/>
        </w:rPr>
        <w:br w:type="page"/>
      </w:r>
    </w:p>
    <w:tbl>
      <w:tblPr>
        <w:tblW w:w="9258" w:type="dxa"/>
        <w:tblCellMar>
          <w:left w:w="70" w:type="dxa"/>
          <w:right w:w="70" w:type="dxa"/>
        </w:tblCellMar>
        <w:tblLook w:val="04A0" w:firstRow="1" w:lastRow="0" w:firstColumn="1" w:lastColumn="0" w:noHBand="0" w:noVBand="1"/>
      </w:tblPr>
      <w:tblGrid>
        <w:gridCol w:w="836"/>
        <w:gridCol w:w="1473"/>
        <w:gridCol w:w="1472"/>
        <w:gridCol w:w="1470"/>
        <w:gridCol w:w="1470"/>
        <w:gridCol w:w="1475"/>
        <w:gridCol w:w="1062"/>
      </w:tblGrid>
      <w:tr w:rsidR="00A30FF0" w:rsidRPr="00B31FFC" w:rsidTr="000F6ADC">
        <w:trPr>
          <w:trHeight w:val="181"/>
        </w:trPr>
        <w:tc>
          <w:tcPr>
            <w:tcW w:w="2309" w:type="dxa"/>
            <w:gridSpan w:val="2"/>
            <w:tcBorders>
              <w:top w:val="single" w:sz="12" w:space="0" w:color="808080"/>
              <w:left w:val="single" w:sz="12" w:space="0" w:color="808080"/>
              <w:bottom w:val="nil"/>
              <w:right w:val="single" w:sz="12" w:space="0" w:color="808080"/>
            </w:tcBorders>
            <w:shd w:val="clear" w:color="000000" w:fill="D9D9D9"/>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lastRenderedPageBreak/>
              <w:t> </w:t>
            </w:r>
          </w:p>
        </w:tc>
        <w:tc>
          <w:tcPr>
            <w:tcW w:w="6949" w:type="dxa"/>
            <w:gridSpan w:val="5"/>
            <w:vMerge w:val="restart"/>
            <w:tcBorders>
              <w:top w:val="single" w:sz="12" w:space="0" w:color="808080"/>
              <w:left w:val="single" w:sz="12" w:space="0" w:color="808080"/>
              <w:bottom w:val="single" w:sz="12" w:space="0" w:color="808080"/>
              <w:right w:val="single" w:sz="12" w:space="0" w:color="808080"/>
            </w:tcBorders>
            <w:shd w:val="clear" w:color="000000" w:fill="F2F2F2"/>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Incrementar la oferta financiera con especial énfasis en pequeños productores.</w:t>
            </w:r>
          </w:p>
        </w:tc>
      </w:tr>
      <w:tr w:rsidR="00A30FF0" w:rsidRPr="00B31FFC" w:rsidTr="000F6ADC">
        <w:trPr>
          <w:trHeight w:val="173"/>
        </w:trPr>
        <w:tc>
          <w:tcPr>
            <w:tcW w:w="2309" w:type="dxa"/>
            <w:gridSpan w:val="2"/>
            <w:tcBorders>
              <w:top w:val="nil"/>
              <w:left w:val="single" w:sz="12" w:space="0" w:color="808080"/>
              <w:bottom w:val="nil"/>
              <w:right w:val="single" w:sz="12" w:space="0" w:color="808080"/>
            </w:tcBorders>
            <w:shd w:val="clear" w:color="000000" w:fill="D9D9D9"/>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 xml:space="preserve">Objetivo 3. </w:t>
            </w:r>
          </w:p>
        </w:tc>
        <w:tc>
          <w:tcPr>
            <w:tcW w:w="6949" w:type="dxa"/>
            <w:gridSpan w:val="5"/>
            <w:vMerge/>
            <w:tcBorders>
              <w:top w:val="single" w:sz="12" w:space="0" w:color="808080"/>
              <w:left w:val="single" w:sz="12" w:space="0" w:color="808080"/>
              <w:bottom w:val="single" w:sz="12" w:space="0" w:color="808080"/>
              <w:right w:val="single" w:sz="12" w:space="0" w:color="808080"/>
            </w:tcBorders>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p>
        </w:tc>
      </w:tr>
      <w:tr w:rsidR="00A30FF0" w:rsidRPr="00B31FFC" w:rsidTr="000F6ADC">
        <w:trPr>
          <w:trHeight w:val="181"/>
        </w:trPr>
        <w:tc>
          <w:tcPr>
            <w:tcW w:w="2309" w:type="dxa"/>
            <w:gridSpan w:val="2"/>
            <w:tcBorders>
              <w:top w:val="nil"/>
              <w:left w:val="single" w:sz="12" w:space="0" w:color="808080"/>
              <w:bottom w:val="single" w:sz="12" w:space="0" w:color="808080"/>
              <w:right w:val="single" w:sz="12" w:space="0" w:color="808080"/>
            </w:tcBorders>
            <w:shd w:val="clear" w:color="000000" w:fill="D9D9D9"/>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 </w:t>
            </w:r>
          </w:p>
        </w:tc>
        <w:tc>
          <w:tcPr>
            <w:tcW w:w="6949" w:type="dxa"/>
            <w:gridSpan w:val="5"/>
            <w:vMerge/>
            <w:tcBorders>
              <w:top w:val="single" w:sz="12" w:space="0" w:color="808080"/>
              <w:left w:val="single" w:sz="12" w:space="0" w:color="808080"/>
              <w:bottom w:val="single" w:sz="12" w:space="0" w:color="808080"/>
              <w:right w:val="single" w:sz="12" w:space="0" w:color="808080"/>
            </w:tcBorders>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p>
        </w:tc>
      </w:tr>
      <w:tr w:rsidR="00A30FF0" w:rsidRPr="00B31FFC" w:rsidTr="000F6ADC">
        <w:trPr>
          <w:trHeight w:val="181"/>
        </w:trPr>
        <w:tc>
          <w:tcPr>
            <w:tcW w:w="2309" w:type="dxa"/>
            <w:gridSpan w:val="2"/>
            <w:tcBorders>
              <w:top w:val="single" w:sz="12" w:space="0" w:color="808080"/>
              <w:left w:val="single" w:sz="12" w:space="0" w:color="808080"/>
              <w:bottom w:val="nil"/>
              <w:right w:val="single" w:sz="12" w:space="0" w:color="808080"/>
            </w:tcBorders>
            <w:shd w:val="clear" w:color="000000" w:fill="D9D9D9"/>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 </w:t>
            </w:r>
          </w:p>
        </w:tc>
        <w:tc>
          <w:tcPr>
            <w:tcW w:w="6949" w:type="dxa"/>
            <w:gridSpan w:val="5"/>
            <w:vMerge w:val="restart"/>
            <w:tcBorders>
              <w:top w:val="single" w:sz="12" w:space="0" w:color="808080"/>
              <w:left w:val="single" w:sz="12" w:space="0" w:color="808080"/>
              <w:bottom w:val="single" w:sz="12" w:space="0" w:color="808080"/>
              <w:right w:val="single" w:sz="12" w:space="0" w:color="808080"/>
            </w:tcBorders>
            <w:shd w:val="clear" w:color="000000" w:fill="F2F2F2"/>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Número de pequeños productores atendidos.</w:t>
            </w:r>
          </w:p>
        </w:tc>
      </w:tr>
      <w:tr w:rsidR="00A30FF0" w:rsidRPr="00B31FFC" w:rsidTr="000F6ADC">
        <w:trPr>
          <w:trHeight w:val="173"/>
        </w:trPr>
        <w:tc>
          <w:tcPr>
            <w:tcW w:w="2309" w:type="dxa"/>
            <w:gridSpan w:val="2"/>
            <w:tcBorders>
              <w:top w:val="nil"/>
              <w:left w:val="single" w:sz="12" w:space="0" w:color="808080"/>
              <w:bottom w:val="nil"/>
              <w:right w:val="single" w:sz="12" w:space="0" w:color="808080"/>
            </w:tcBorders>
            <w:shd w:val="clear" w:color="000000" w:fill="D9D9D9"/>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Nombre del indicador</w:t>
            </w:r>
          </w:p>
        </w:tc>
        <w:tc>
          <w:tcPr>
            <w:tcW w:w="6949" w:type="dxa"/>
            <w:gridSpan w:val="5"/>
            <w:vMerge/>
            <w:tcBorders>
              <w:top w:val="single" w:sz="12" w:space="0" w:color="808080"/>
              <w:left w:val="single" w:sz="12" w:space="0" w:color="808080"/>
              <w:bottom w:val="single" w:sz="12" w:space="0" w:color="808080"/>
              <w:right w:val="single" w:sz="12" w:space="0" w:color="808080"/>
            </w:tcBorders>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p>
        </w:tc>
      </w:tr>
      <w:tr w:rsidR="00A30FF0" w:rsidRPr="00B31FFC" w:rsidTr="000F6ADC">
        <w:trPr>
          <w:trHeight w:val="181"/>
        </w:trPr>
        <w:tc>
          <w:tcPr>
            <w:tcW w:w="2309" w:type="dxa"/>
            <w:gridSpan w:val="2"/>
            <w:tcBorders>
              <w:top w:val="nil"/>
              <w:left w:val="single" w:sz="12" w:space="0" w:color="808080"/>
              <w:bottom w:val="single" w:sz="12" w:space="0" w:color="808080"/>
              <w:right w:val="single" w:sz="12" w:space="0" w:color="808080"/>
            </w:tcBorders>
            <w:shd w:val="clear" w:color="000000" w:fill="D9D9D9"/>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 </w:t>
            </w:r>
          </w:p>
        </w:tc>
        <w:tc>
          <w:tcPr>
            <w:tcW w:w="6949" w:type="dxa"/>
            <w:gridSpan w:val="5"/>
            <w:vMerge/>
            <w:tcBorders>
              <w:top w:val="single" w:sz="12" w:space="0" w:color="808080"/>
              <w:left w:val="single" w:sz="12" w:space="0" w:color="808080"/>
              <w:bottom w:val="single" w:sz="12" w:space="0" w:color="808080"/>
              <w:right w:val="single" w:sz="12" w:space="0" w:color="808080"/>
            </w:tcBorders>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p>
        </w:tc>
      </w:tr>
      <w:tr w:rsidR="00A30FF0" w:rsidRPr="00B31FFC" w:rsidTr="000F6ADC">
        <w:trPr>
          <w:trHeight w:val="181"/>
        </w:trPr>
        <w:tc>
          <w:tcPr>
            <w:tcW w:w="2309" w:type="dxa"/>
            <w:gridSpan w:val="2"/>
            <w:tcBorders>
              <w:top w:val="single" w:sz="12" w:space="0" w:color="808080"/>
              <w:left w:val="single" w:sz="12" w:space="0" w:color="808080"/>
              <w:bottom w:val="nil"/>
              <w:right w:val="single" w:sz="12" w:space="0" w:color="808080"/>
            </w:tcBorders>
            <w:shd w:val="clear" w:color="000000" w:fill="D9D9D9"/>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 </w:t>
            </w:r>
          </w:p>
        </w:tc>
        <w:tc>
          <w:tcPr>
            <w:tcW w:w="6949" w:type="dxa"/>
            <w:gridSpan w:val="5"/>
            <w:vMerge w:val="restart"/>
            <w:tcBorders>
              <w:top w:val="single" w:sz="12" w:space="0" w:color="808080"/>
              <w:left w:val="single" w:sz="12" w:space="0" w:color="808080"/>
              <w:bottom w:val="single" w:sz="12" w:space="0" w:color="808080"/>
              <w:right w:val="single" w:sz="12" w:space="0" w:color="808080"/>
            </w:tcBorders>
            <w:shd w:val="clear" w:color="000000" w:fill="F2F2F2"/>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Informe de Autoevaluación</w:t>
            </w:r>
            <w:r w:rsidR="00A17DD7">
              <w:rPr>
                <w:rFonts w:ascii="Soberana Sans" w:eastAsia="Times New Roman" w:hAnsi="Soberana Sans" w:cs="Calibri"/>
                <w:color w:val="000000"/>
                <w:szCs w:val="17"/>
                <w:lang w:eastAsia="es-MX"/>
              </w:rPr>
              <w:t>.</w:t>
            </w:r>
            <w:r w:rsidRPr="00B31FFC">
              <w:rPr>
                <w:rFonts w:ascii="Soberana Sans" w:eastAsia="Times New Roman" w:hAnsi="Soberana Sans" w:cs="Calibri"/>
                <w:color w:val="000000"/>
                <w:szCs w:val="17"/>
                <w:lang w:eastAsia="es-MX"/>
              </w:rPr>
              <w:t xml:space="preserve">  </w:t>
            </w:r>
          </w:p>
        </w:tc>
      </w:tr>
      <w:tr w:rsidR="00A30FF0" w:rsidRPr="00B31FFC" w:rsidTr="000F6ADC">
        <w:trPr>
          <w:trHeight w:val="260"/>
        </w:trPr>
        <w:tc>
          <w:tcPr>
            <w:tcW w:w="2309" w:type="dxa"/>
            <w:gridSpan w:val="2"/>
            <w:tcBorders>
              <w:top w:val="nil"/>
              <w:left w:val="single" w:sz="12" w:space="0" w:color="808080"/>
              <w:bottom w:val="nil"/>
              <w:right w:val="single" w:sz="12" w:space="0" w:color="808080"/>
            </w:tcBorders>
            <w:shd w:val="clear" w:color="000000" w:fill="D9D9D9"/>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Fuente de información o medio de verificación</w:t>
            </w:r>
          </w:p>
        </w:tc>
        <w:tc>
          <w:tcPr>
            <w:tcW w:w="6949" w:type="dxa"/>
            <w:gridSpan w:val="5"/>
            <w:vMerge/>
            <w:tcBorders>
              <w:top w:val="single" w:sz="12" w:space="0" w:color="808080"/>
              <w:left w:val="single" w:sz="12" w:space="0" w:color="808080"/>
              <w:bottom w:val="single" w:sz="12" w:space="0" w:color="808080"/>
              <w:right w:val="single" w:sz="12" w:space="0" w:color="808080"/>
            </w:tcBorders>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p>
        </w:tc>
      </w:tr>
      <w:tr w:rsidR="00A30FF0" w:rsidRPr="00B31FFC" w:rsidTr="000F6ADC">
        <w:trPr>
          <w:trHeight w:val="181"/>
        </w:trPr>
        <w:tc>
          <w:tcPr>
            <w:tcW w:w="2309" w:type="dxa"/>
            <w:gridSpan w:val="2"/>
            <w:tcBorders>
              <w:top w:val="nil"/>
              <w:left w:val="single" w:sz="12" w:space="0" w:color="808080"/>
              <w:bottom w:val="single" w:sz="12" w:space="0" w:color="808080"/>
              <w:right w:val="single" w:sz="12" w:space="0" w:color="808080"/>
            </w:tcBorders>
            <w:shd w:val="clear" w:color="000000" w:fill="D9D9D9"/>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 </w:t>
            </w:r>
          </w:p>
        </w:tc>
        <w:tc>
          <w:tcPr>
            <w:tcW w:w="6949" w:type="dxa"/>
            <w:gridSpan w:val="5"/>
            <w:vMerge/>
            <w:tcBorders>
              <w:top w:val="single" w:sz="12" w:space="0" w:color="808080"/>
              <w:left w:val="single" w:sz="12" w:space="0" w:color="808080"/>
              <w:bottom w:val="single" w:sz="12" w:space="0" w:color="808080"/>
              <w:right w:val="single" w:sz="12" w:space="0" w:color="808080"/>
            </w:tcBorders>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p>
        </w:tc>
      </w:tr>
      <w:tr w:rsidR="00A30FF0" w:rsidRPr="00B31FFC" w:rsidTr="000F6ADC">
        <w:trPr>
          <w:trHeight w:val="390"/>
        </w:trPr>
        <w:tc>
          <w:tcPr>
            <w:tcW w:w="2309" w:type="dxa"/>
            <w:gridSpan w:val="2"/>
            <w:tcBorders>
              <w:top w:val="single" w:sz="12" w:space="0" w:color="808080"/>
              <w:left w:val="single" w:sz="12" w:space="0" w:color="808080"/>
              <w:bottom w:val="single" w:sz="12" w:space="0" w:color="808080"/>
              <w:right w:val="single" w:sz="12" w:space="0" w:color="808080"/>
            </w:tcBorders>
            <w:shd w:val="clear" w:color="000000" w:fill="D9D9D9"/>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Dirección electrónica donde puede verificarse el valor del indicador</w:t>
            </w:r>
          </w:p>
        </w:tc>
        <w:tc>
          <w:tcPr>
            <w:tcW w:w="6949" w:type="dxa"/>
            <w:gridSpan w:val="5"/>
            <w:tcBorders>
              <w:top w:val="single" w:sz="12" w:space="0" w:color="808080"/>
              <w:left w:val="nil"/>
              <w:bottom w:val="single" w:sz="12" w:space="0" w:color="808080"/>
              <w:right w:val="single" w:sz="12" w:space="0" w:color="808080"/>
            </w:tcBorders>
            <w:shd w:val="clear" w:color="000000" w:fill="F2F2F2"/>
            <w:vAlign w:val="center"/>
            <w:hideMark/>
          </w:tcPr>
          <w:p w:rsidR="00A30FF0" w:rsidRPr="00B31FFC" w:rsidRDefault="00D45EA0" w:rsidP="000F6ADC">
            <w:pPr>
              <w:spacing w:after="0" w:line="240" w:lineRule="auto"/>
              <w:rPr>
                <w:rFonts w:ascii="Calibri" w:eastAsia="Times New Roman" w:hAnsi="Calibri" w:cs="Calibri"/>
                <w:color w:val="0563C1"/>
                <w:sz w:val="22"/>
                <w:u w:val="single"/>
                <w:lang w:eastAsia="es-MX"/>
              </w:rPr>
            </w:pPr>
            <w:hyperlink r:id="rId23" w:history="1">
              <w:r w:rsidR="00A30FF0" w:rsidRPr="00B31FFC">
                <w:rPr>
                  <w:rFonts w:ascii="Soberana Sans" w:eastAsia="Times New Roman" w:hAnsi="Soberana Sans" w:cs="Calibri"/>
                  <w:color w:val="000000"/>
                  <w:szCs w:val="17"/>
                  <w:lang w:eastAsia="es-MX"/>
                </w:rPr>
                <w:t>www.gob.mx/fnd</w:t>
              </w:r>
            </w:hyperlink>
          </w:p>
        </w:tc>
      </w:tr>
      <w:tr w:rsidR="00A30FF0" w:rsidRPr="00B31FFC" w:rsidTr="000F6ADC">
        <w:trPr>
          <w:trHeight w:val="329"/>
        </w:trPr>
        <w:tc>
          <w:tcPr>
            <w:tcW w:w="836" w:type="dxa"/>
            <w:tcBorders>
              <w:top w:val="nil"/>
              <w:left w:val="single" w:sz="12" w:space="0" w:color="808080"/>
              <w:bottom w:val="single" w:sz="12" w:space="0" w:color="808080"/>
              <w:right w:val="single" w:sz="12" w:space="0" w:color="808080"/>
            </w:tcBorders>
            <w:shd w:val="clear" w:color="000000" w:fill="D9D9D9"/>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 xml:space="preserve">Línea base </w:t>
            </w:r>
          </w:p>
        </w:tc>
        <w:tc>
          <w:tcPr>
            <w:tcW w:w="1472" w:type="dxa"/>
            <w:vMerge w:val="restart"/>
            <w:tcBorders>
              <w:top w:val="nil"/>
              <w:left w:val="single" w:sz="12" w:space="0" w:color="808080"/>
              <w:bottom w:val="single" w:sz="12" w:space="0" w:color="808080"/>
              <w:right w:val="single" w:sz="12" w:space="0" w:color="808080"/>
            </w:tcBorders>
            <w:shd w:val="clear" w:color="000000" w:fill="D9D9D9"/>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Valor observado del indicador en 2013</w:t>
            </w:r>
          </w:p>
        </w:tc>
        <w:tc>
          <w:tcPr>
            <w:tcW w:w="1471" w:type="dxa"/>
            <w:vMerge w:val="restart"/>
            <w:tcBorders>
              <w:top w:val="nil"/>
              <w:left w:val="single" w:sz="12" w:space="0" w:color="808080"/>
              <w:bottom w:val="single" w:sz="12" w:space="0" w:color="808080"/>
              <w:right w:val="single" w:sz="12" w:space="0" w:color="808080"/>
            </w:tcBorders>
            <w:shd w:val="clear" w:color="000000" w:fill="D9D9D9"/>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Valor observado del indicador en 2014</w:t>
            </w:r>
          </w:p>
        </w:tc>
        <w:tc>
          <w:tcPr>
            <w:tcW w:w="1470" w:type="dxa"/>
            <w:vMerge w:val="restart"/>
            <w:tcBorders>
              <w:top w:val="nil"/>
              <w:left w:val="single" w:sz="12" w:space="0" w:color="808080"/>
              <w:bottom w:val="single" w:sz="12" w:space="0" w:color="808080"/>
              <w:right w:val="single" w:sz="12" w:space="0" w:color="808080"/>
            </w:tcBorders>
            <w:shd w:val="clear" w:color="000000" w:fill="D9D9D9"/>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Valor observado del indicador en 2015</w:t>
            </w:r>
          </w:p>
        </w:tc>
        <w:tc>
          <w:tcPr>
            <w:tcW w:w="1470" w:type="dxa"/>
            <w:vMerge w:val="restart"/>
            <w:tcBorders>
              <w:top w:val="nil"/>
              <w:left w:val="single" w:sz="12" w:space="0" w:color="808080"/>
              <w:bottom w:val="single" w:sz="12" w:space="0" w:color="808080"/>
              <w:right w:val="single" w:sz="12" w:space="0" w:color="808080"/>
            </w:tcBorders>
            <w:shd w:val="clear" w:color="000000" w:fill="D9D9D9"/>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Valor observado del indicador en 2016</w:t>
            </w:r>
          </w:p>
        </w:tc>
        <w:tc>
          <w:tcPr>
            <w:tcW w:w="1473" w:type="dxa"/>
            <w:vMerge w:val="restart"/>
            <w:tcBorders>
              <w:top w:val="nil"/>
              <w:left w:val="single" w:sz="12" w:space="0" w:color="808080"/>
              <w:bottom w:val="single" w:sz="12" w:space="0" w:color="808080"/>
              <w:right w:val="single" w:sz="12" w:space="0" w:color="808080"/>
            </w:tcBorders>
            <w:shd w:val="clear" w:color="000000" w:fill="D9D9D9"/>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Valor observado del indicador en 2017</w:t>
            </w:r>
          </w:p>
        </w:tc>
        <w:tc>
          <w:tcPr>
            <w:tcW w:w="1062" w:type="dxa"/>
            <w:vMerge w:val="restart"/>
            <w:tcBorders>
              <w:top w:val="nil"/>
              <w:left w:val="single" w:sz="12" w:space="0" w:color="808080"/>
              <w:bottom w:val="single" w:sz="12" w:space="0" w:color="808080"/>
              <w:right w:val="single" w:sz="12" w:space="0" w:color="808080"/>
            </w:tcBorders>
            <w:shd w:val="clear" w:color="000000" w:fill="D9D9D9"/>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Meta 2018</w:t>
            </w:r>
          </w:p>
        </w:tc>
      </w:tr>
      <w:tr w:rsidR="00A30FF0" w:rsidRPr="00B31FFC" w:rsidTr="000F6ADC">
        <w:trPr>
          <w:trHeight w:val="190"/>
        </w:trPr>
        <w:tc>
          <w:tcPr>
            <w:tcW w:w="836" w:type="dxa"/>
            <w:tcBorders>
              <w:top w:val="nil"/>
              <w:left w:val="single" w:sz="12" w:space="0" w:color="808080"/>
              <w:bottom w:val="single" w:sz="12" w:space="0" w:color="808080"/>
              <w:right w:val="single" w:sz="12" w:space="0" w:color="808080"/>
            </w:tcBorders>
            <w:shd w:val="clear" w:color="000000" w:fill="F2F2F2"/>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2013</w:t>
            </w:r>
          </w:p>
        </w:tc>
        <w:tc>
          <w:tcPr>
            <w:tcW w:w="1472" w:type="dxa"/>
            <w:vMerge/>
            <w:tcBorders>
              <w:top w:val="nil"/>
              <w:left w:val="single" w:sz="12" w:space="0" w:color="808080"/>
              <w:bottom w:val="single" w:sz="12" w:space="0" w:color="808080"/>
              <w:right w:val="single" w:sz="12" w:space="0" w:color="808080"/>
            </w:tcBorders>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p>
        </w:tc>
        <w:tc>
          <w:tcPr>
            <w:tcW w:w="1471" w:type="dxa"/>
            <w:vMerge/>
            <w:tcBorders>
              <w:top w:val="nil"/>
              <w:left w:val="single" w:sz="12" w:space="0" w:color="808080"/>
              <w:bottom w:val="single" w:sz="12" w:space="0" w:color="808080"/>
              <w:right w:val="single" w:sz="12" w:space="0" w:color="808080"/>
            </w:tcBorders>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p>
        </w:tc>
        <w:tc>
          <w:tcPr>
            <w:tcW w:w="1470" w:type="dxa"/>
            <w:vMerge/>
            <w:tcBorders>
              <w:top w:val="nil"/>
              <w:left w:val="single" w:sz="12" w:space="0" w:color="808080"/>
              <w:bottom w:val="single" w:sz="12" w:space="0" w:color="808080"/>
              <w:right w:val="single" w:sz="12" w:space="0" w:color="808080"/>
            </w:tcBorders>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p>
        </w:tc>
        <w:tc>
          <w:tcPr>
            <w:tcW w:w="1470" w:type="dxa"/>
            <w:vMerge/>
            <w:tcBorders>
              <w:top w:val="nil"/>
              <w:left w:val="single" w:sz="12" w:space="0" w:color="808080"/>
              <w:bottom w:val="single" w:sz="12" w:space="0" w:color="808080"/>
              <w:right w:val="single" w:sz="12" w:space="0" w:color="808080"/>
            </w:tcBorders>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p>
        </w:tc>
        <w:tc>
          <w:tcPr>
            <w:tcW w:w="1473" w:type="dxa"/>
            <w:vMerge/>
            <w:tcBorders>
              <w:top w:val="nil"/>
              <w:left w:val="single" w:sz="12" w:space="0" w:color="808080"/>
              <w:bottom w:val="single" w:sz="12" w:space="0" w:color="808080"/>
              <w:right w:val="single" w:sz="12" w:space="0" w:color="808080"/>
            </w:tcBorders>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p>
        </w:tc>
        <w:tc>
          <w:tcPr>
            <w:tcW w:w="1062" w:type="dxa"/>
            <w:vMerge/>
            <w:tcBorders>
              <w:top w:val="nil"/>
              <w:left w:val="single" w:sz="12" w:space="0" w:color="808080"/>
              <w:bottom w:val="single" w:sz="12" w:space="0" w:color="808080"/>
              <w:right w:val="single" w:sz="12" w:space="0" w:color="808080"/>
            </w:tcBorders>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p>
        </w:tc>
      </w:tr>
      <w:tr w:rsidR="00A30FF0" w:rsidRPr="00B31FFC" w:rsidTr="000F6ADC">
        <w:trPr>
          <w:trHeight w:val="215"/>
        </w:trPr>
        <w:tc>
          <w:tcPr>
            <w:tcW w:w="836" w:type="dxa"/>
            <w:vMerge w:val="restart"/>
            <w:tcBorders>
              <w:top w:val="nil"/>
              <w:left w:val="single" w:sz="12" w:space="0" w:color="808080"/>
              <w:bottom w:val="single" w:sz="12" w:space="0" w:color="808080"/>
              <w:right w:val="single" w:sz="12" w:space="0" w:color="808080"/>
            </w:tcBorders>
            <w:shd w:val="clear" w:color="000000" w:fill="F2F2F2"/>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100</w:t>
            </w:r>
          </w:p>
        </w:tc>
        <w:tc>
          <w:tcPr>
            <w:tcW w:w="1472" w:type="dxa"/>
            <w:vMerge w:val="restart"/>
            <w:tcBorders>
              <w:top w:val="nil"/>
              <w:left w:val="single" w:sz="12" w:space="0" w:color="808080"/>
              <w:bottom w:val="single" w:sz="12" w:space="0" w:color="808080"/>
              <w:right w:val="single" w:sz="12" w:space="0" w:color="808080"/>
            </w:tcBorders>
            <w:shd w:val="clear" w:color="000000" w:fill="F2F2F2"/>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N/A</w:t>
            </w:r>
          </w:p>
        </w:tc>
        <w:tc>
          <w:tcPr>
            <w:tcW w:w="1471" w:type="dxa"/>
            <w:vMerge w:val="restart"/>
            <w:tcBorders>
              <w:top w:val="nil"/>
              <w:left w:val="single" w:sz="12" w:space="0" w:color="808080"/>
              <w:bottom w:val="single" w:sz="12" w:space="0" w:color="808080"/>
              <w:right w:val="single" w:sz="12" w:space="0" w:color="808080"/>
            </w:tcBorders>
            <w:shd w:val="clear" w:color="000000" w:fill="F2F2F2"/>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100</w:t>
            </w:r>
          </w:p>
        </w:tc>
        <w:tc>
          <w:tcPr>
            <w:tcW w:w="1470" w:type="dxa"/>
            <w:vMerge w:val="restart"/>
            <w:tcBorders>
              <w:top w:val="nil"/>
              <w:left w:val="single" w:sz="12" w:space="0" w:color="808080"/>
              <w:bottom w:val="single" w:sz="12" w:space="0" w:color="808080"/>
              <w:right w:val="single" w:sz="12" w:space="0" w:color="808080"/>
            </w:tcBorders>
            <w:shd w:val="clear" w:color="000000" w:fill="F2F2F2"/>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237.3</w:t>
            </w:r>
          </w:p>
        </w:tc>
        <w:tc>
          <w:tcPr>
            <w:tcW w:w="1470" w:type="dxa"/>
            <w:vMerge w:val="restart"/>
            <w:tcBorders>
              <w:top w:val="nil"/>
              <w:left w:val="single" w:sz="12" w:space="0" w:color="808080"/>
              <w:bottom w:val="single" w:sz="12" w:space="0" w:color="808080"/>
              <w:right w:val="single" w:sz="12" w:space="0" w:color="808080"/>
            </w:tcBorders>
            <w:shd w:val="clear" w:color="000000" w:fill="F2F2F2"/>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285.1</w:t>
            </w:r>
          </w:p>
        </w:tc>
        <w:tc>
          <w:tcPr>
            <w:tcW w:w="1473" w:type="dxa"/>
            <w:vMerge w:val="restart"/>
            <w:tcBorders>
              <w:top w:val="nil"/>
              <w:left w:val="single" w:sz="12" w:space="0" w:color="808080"/>
              <w:bottom w:val="single" w:sz="12" w:space="0" w:color="808080"/>
              <w:right w:val="single" w:sz="12" w:space="0" w:color="808080"/>
            </w:tcBorders>
            <w:shd w:val="clear" w:color="000000" w:fill="F2F2F2"/>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313.8</w:t>
            </w:r>
          </w:p>
        </w:tc>
        <w:tc>
          <w:tcPr>
            <w:tcW w:w="1062" w:type="dxa"/>
            <w:vMerge w:val="restart"/>
            <w:tcBorders>
              <w:top w:val="nil"/>
              <w:left w:val="single" w:sz="12" w:space="0" w:color="808080"/>
              <w:bottom w:val="single" w:sz="12" w:space="0" w:color="808080"/>
              <w:right w:val="single" w:sz="12" w:space="0" w:color="808080"/>
            </w:tcBorders>
            <w:shd w:val="clear" w:color="000000" w:fill="F2F2F2"/>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200</w:t>
            </w:r>
          </w:p>
        </w:tc>
      </w:tr>
      <w:tr w:rsidR="00A30FF0" w:rsidRPr="00B31FFC" w:rsidTr="000F6ADC">
        <w:trPr>
          <w:trHeight w:val="315"/>
        </w:trPr>
        <w:tc>
          <w:tcPr>
            <w:tcW w:w="836" w:type="dxa"/>
            <w:vMerge/>
            <w:tcBorders>
              <w:top w:val="nil"/>
              <w:left w:val="single" w:sz="12" w:space="0" w:color="808080"/>
              <w:bottom w:val="single" w:sz="12" w:space="0" w:color="808080"/>
              <w:right w:val="single" w:sz="12" w:space="0" w:color="808080"/>
            </w:tcBorders>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p>
        </w:tc>
        <w:tc>
          <w:tcPr>
            <w:tcW w:w="1472" w:type="dxa"/>
            <w:vMerge/>
            <w:tcBorders>
              <w:top w:val="nil"/>
              <w:left w:val="single" w:sz="12" w:space="0" w:color="808080"/>
              <w:bottom w:val="single" w:sz="12" w:space="0" w:color="808080"/>
              <w:right w:val="single" w:sz="12" w:space="0" w:color="808080"/>
            </w:tcBorders>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p>
        </w:tc>
        <w:tc>
          <w:tcPr>
            <w:tcW w:w="1471" w:type="dxa"/>
            <w:vMerge/>
            <w:tcBorders>
              <w:top w:val="nil"/>
              <w:left w:val="single" w:sz="12" w:space="0" w:color="808080"/>
              <w:bottom w:val="single" w:sz="12" w:space="0" w:color="808080"/>
              <w:right w:val="single" w:sz="12" w:space="0" w:color="808080"/>
            </w:tcBorders>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p>
        </w:tc>
        <w:tc>
          <w:tcPr>
            <w:tcW w:w="1470" w:type="dxa"/>
            <w:vMerge/>
            <w:tcBorders>
              <w:top w:val="nil"/>
              <w:left w:val="single" w:sz="12" w:space="0" w:color="808080"/>
              <w:bottom w:val="single" w:sz="12" w:space="0" w:color="808080"/>
              <w:right w:val="single" w:sz="12" w:space="0" w:color="808080"/>
            </w:tcBorders>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p>
        </w:tc>
        <w:tc>
          <w:tcPr>
            <w:tcW w:w="1470" w:type="dxa"/>
            <w:vMerge/>
            <w:tcBorders>
              <w:top w:val="nil"/>
              <w:left w:val="single" w:sz="12" w:space="0" w:color="808080"/>
              <w:bottom w:val="single" w:sz="12" w:space="0" w:color="808080"/>
              <w:right w:val="single" w:sz="12" w:space="0" w:color="808080"/>
            </w:tcBorders>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p>
        </w:tc>
        <w:tc>
          <w:tcPr>
            <w:tcW w:w="1473" w:type="dxa"/>
            <w:vMerge/>
            <w:tcBorders>
              <w:top w:val="nil"/>
              <w:left w:val="single" w:sz="12" w:space="0" w:color="808080"/>
              <w:bottom w:val="single" w:sz="12" w:space="0" w:color="808080"/>
              <w:right w:val="single" w:sz="12" w:space="0" w:color="808080"/>
            </w:tcBorders>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p>
        </w:tc>
        <w:tc>
          <w:tcPr>
            <w:tcW w:w="1062" w:type="dxa"/>
            <w:vMerge/>
            <w:tcBorders>
              <w:top w:val="nil"/>
              <w:left w:val="single" w:sz="12" w:space="0" w:color="808080"/>
              <w:bottom w:val="single" w:sz="12" w:space="0" w:color="808080"/>
              <w:right w:val="single" w:sz="12" w:space="0" w:color="808080"/>
            </w:tcBorders>
            <w:vAlign w:val="center"/>
            <w:hideMark/>
          </w:tcPr>
          <w:p w:rsidR="00A30FF0" w:rsidRPr="00B31FFC" w:rsidRDefault="00A30FF0" w:rsidP="000F6ADC">
            <w:pPr>
              <w:spacing w:after="0" w:line="240" w:lineRule="auto"/>
              <w:rPr>
                <w:rFonts w:ascii="Soberana Sans" w:eastAsia="Times New Roman" w:hAnsi="Soberana Sans" w:cs="Calibri"/>
                <w:color w:val="000000"/>
                <w:szCs w:val="17"/>
                <w:lang w:eastAsia="es-MX"/>
              </w:rPr>
            </w:pPr>
          </w:p>
        </w:tc>
      </w:tr>
      <w:tr w:rsidR="00A30FF0" w:rsidRPr="00B31FFC" w:rsidTr="000F6ADC">
        <w:trPr>
          <w:trHeight w:val="277"/>
        </w:trPr>
        <w:tc>
          <w:tcPr>
            <w:tcW w:w="3781" w:type="dxa"/>
            <w:gridSpan w:val="3"/>
            <w:tcBorders>
              <w:top w:val="single" w:sz="12" w:space="0" w:color="808080"/>
              <w:left w:val="single" w:sz="12" w:space="0" w:color="808080"/>
              <w:bottom w:val="single" w:sz="12" w:space="0" w:color="808080"/>
              <w:right w:val="single" w:sz="12" w:space="0" w:color="808080"/>
            </w:tcBorders>
            <w:shd w:val="clear" w:color="000000" w:fill="D9D9D9"/>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Método de cálculo</w:t>
            </w:r>
          </w:p>
        </w:tc>
        <w:tc>
          <w:tcPr>
            <w:tcW w:w="4415" w:type="dxa"/>
            <w:gridSpan w:val="3"/>
            <w:tcBorders>
              <w:top w:val="single" w:sz="12" w:space="0" w:color="808080"/>
              <w:left w:val="nil"/>
              <w:bottom w:val="single" w:sz="12" w:space="0" w:color="808080"/>
              <w:right w:val="single" w:sz="12" w:space="0" w:color="808080"/>
            </w:tcBorders>
            <w:shd w:val="clear" w:color="000000" w:fill="D9D9D9"/>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Unidad de Medida</w:t>
            </w:r>
          </w:p>
        </w:tc>
        <w:tc>
          <w:tcPr>
            <w:tcW w:w="1062" w:type="dxa"/>
            <w:tcBorders>
              <w:top w:val="nil"/>
              <w:left w:val="nil"/>
              <w:bottom w:val="single" w:sz="12" w:space="0" w:color="808080"/>
              <w:right w:val="single" w:sz="12" w:space="0" w:color="808080"/>
            </w:tcBorders>
            <w:shd w:val="clear" w:color="000000" w:fill="D9D9D9"/>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Frecuencia de medición</w:t>
            </w:r>
          </w:p>
        </w:tc>
      </w:tr>
      <w:tr w:rsidR="00A30FF0" w:rsidRPr="00B31FFC" w:rsidTr="000F6ADC">
        <w:trPr>
          <w:trHeight w:val="686"/>
        </w:trPr>
        <w:tc>
          <w:tcPr>
            <w:tcW w:w="3781" w:type="dxa"/>
            <w:gridSpan w:val="3"/>
            <w:tcBorders>
              <w:top w:val="single" w:sz="12" w:space="0" w:color="808080"/>
              <w:left w:val="single" w:sz="12" w:space="0" w:color="808080"/>
              <w:bottom w:val="single" w:sz="12" w:space="0" w:color="808080"/>
              <w:right w:val="single" w:sz="12" w:space="0" w:color="808080"/>
            </w:tcBorders>
            <w:shd w:val="clear" w:color="000000" w:fill="F2F2F2"/>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Total de pequeños productores atendidos con cartera vigente durante el ejercicio entre el total del número de pequeños productores atendidos con cartera vigente durante el año base</w:t>
            </w:r>
            <w:r w:rsidR="00A17DD7">
              <w:rPr>
                <w:rFonts w:ascii="Soberana Sans" w:eastAsia="Times New Roman" w:hAnsi="Soberana Sans" w:cs="Calibri"/>
                <w:color w:val="000000"/>
                <w:szCs w:val="17"/>
                <w:lang w:eastAsia="es-MX"/>
              </w:rPr>
              <w:t>.</w:t>
            </w:r>
          </w:p>
        </w:tc>
        <w:tc>
          <w:tcPr>
            <w:tcW w:w="4415" w:type="dxa"/>
            <w:gridSpan w:val="3"/>
            <w:tcBorders>
              <w:top w:val="single" w:sz="12" w:space="0" w:color="808080"/>
              <w:left w:val="nil"/>
              <w:bottom w:val="single" w:sz="12" w:space="0" w:color="808080"/>
              <w:right w:val="single" w:sz="12" w:space="0" w:color="808080"/>
            </w:tcBorders>
            <w:shd w:val="clear" w:color="000000" w:fill="F2F2F2"/>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porcentaje</w:t>
            </w:r>
          </w:p>
        </w:tc>
        <w:tc>
          <w:tcPr>
            <w:tcW w:w="1062" w:type="dxa"/>
            <w:tcBorders>
              <w:top w:val="nil"/>
              <w:left w:val="nil"/>
              <w:bottom w:val="single" w:sz="12" w:space="0" w:color="808080"/>
              <w:right w:val="single" w:sz="12" w:space="0" w:color="808080"/>
            </w:tcBorders>
            <w:shd w:val="clear" w:color="000000" w:fill="F2F2F2"/>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Anual</w:t>
            </w:r>
          </w:p>
        </w:tc>
      </w:tr>
      <w:tr w:rsidR="00A30FF0" w:rsidRPr="00B31FFC" w:rsidTr="000F6ADC">
        <w:trPr>
          <w:trHeight w:val="190"/>
        </w:trPr>
        <w:tc>
          <w:tcPr>
            <w:tcW w:w="3781" w:type="dxa"/>
            <w:gridSpan w:val="3"/>
            <w:tcBorders>
              <w:top w:val="single" w:sz="12" w:space="0" w:color="808080"/>
              <w:left w:val="single" w:sz="12" w:space="0" w:color="808080"/>
              <w:bottom w:val="single" w:sz="12" w:space="0" w:color="808080"/>
              <w:right w:val="single" w:sz="12" w:space="0" w:color="808080"/>
            </w:tcBorders>
            <w:shd w:val="clear" w:color="000000" w:fill="D9D9D9"/>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Nombre de la variable 1</w:t>
            </w:r>
          </w:p>
        </w:tc>
        <w:tc>
          <w:tcPr>
            <w:tcW w:w="5477" w:type="dxa"/>
            <w:gridSpan w:val="4"/>
            <w:tcBorders>
              <w:top w:val="single" w:sz="12" w:space="0" w:color="808080"/>
              <w:left w:val="nil"/>
              <w:bottom w:val="single" w:sz="12" w:space="0" w:color="808080"/>
              <w:right w:val="single" w:sz="12" w:space="0" w:color="808080"/>
            </w:tcBorders>
            <w:shd w:val="clear" w:color="000000" w:fill="D9D9D9"/>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Valor observado de la variable 1 en 2017</w:t>
            </w:r>
          </w:p>
        </w:tc>
      </w:tr>
      <w:tr w:rsidR="00A30FF0" w:rsidRPr="00B31FFC" w:rsidTr="000F6ADC">
        <w:trPr>
          <w:trHeight w:val="338"/>
        </w:trPr>
        <w:tc>
          <w:tcPr>
            <w:tcW w:w="3781" w:type="dxa"/>
            <w:gridSpan w:val="3"/>
            <w:tcBorders>
              <w:top w:val="single" w:sz="12" w:space="0" w:color="808080"/>
              <w:left w:val="single" w:sz="12" w:space="0" w:color="808080"/>
              <w:bottom w:val="single" w:sz="12" w:space="0" w:color="808080"/>
              <w:right w:val="single" w:sz="12" w:space="0" w:color="808080"/>
            </w:tcBorders>
            <w:shd w:val="clear" w:color="000000" w:fill="F2F2F2"/>
            <w:vAlign w:val="center"/>
            <w:hideMark/>
          </w:tcPr>
          <w:p w:rsidR="00A30FF0" w:rsidRPr="00B31FFC" w:rsidRDefault="00A30FF0" w:rsidP="005220A8">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Total de pequeños productores atendidos con carte</w:t>
            </w:r>
            <w:r w:rsidR="00A17DD7">
              <w:rPr>
                <w:rFonts w:ascii="Soberana Sans" w:eastAsia="Times New Roman" w:hAnsi="Soberana Sans" w:cs="Calibri"/>
                <w:color w:val="000000"/>
                <w:szCs w:val="17"/>
                <w:lang w:eastAsia="es-MX"/>
              </w:rPr>
              <w:t>ra vigente durante el ejercicio.</w:t>
            </w:r>
          </w:p>
        </w:tc>
        <w:tc>
          <w:tcPr>
            <w:tcW w:w="5477" w:type="dxa"/>
            <w:gridSpan w:val="4"/>
            <w:tcBorders>
              <w:top w:val="single" w:sz="12" w:space="0" w:color="808080"/>
              <w:left w:val="nil"/>
              <w:bottom w:val="single" w:sz="12" w:space="0" w:color="808080"/>
              <w:right w:val="single" w:sz="12" w:space="0" w:color="808080"/>
            </w:tcBorders>
            <w:shd w:val="clear" w:color="000000" w:fill="F2F2F2"/>
            <w:vAlign w:val="center"/>
            <w:hideMark/>
          </w:tcPr>
          <w:p w:rsidR="00A30FF0" w:rsidRPr="00B31FFC" w:rsidRDefault="00A30FF0" w:rsidP="00567E16">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 xml:space="preserve">    134,673 </w:t>
            </w:r>
          </w:p>
        </w:tc>
      </w:tr>
      <w:tr w:rsidR="00A30FF0" w:rsidRPr="00B31FFC" w:rsidTr="000F6ADC">
        <w:trPr>
          <w:trHeight w:val="190"/>
        </w:trPr>
        <w:tc>
          <w:tcPr>
            <w:tcW w:w="3781" w:type="dxa"/>
            <w:gridSpan w:val="3"/>
            <w:tcBorders>
              <w:top w:val="single" w:sz="12" w:space="0" w:color="808080"/>
              <w:left w:val="single" w:sz="12" w:space="0" w:color="808080"/>
              <w:bottom w:val="single" w:sz="12" w:space="0" w:color="808080"/>
              <w:right w:val="single" w:sz="12" w:space="0" w:color="808080"/>
            </w:tcBorders>
            <w:shd w:val="clear" w:color="000000" w:fill="D9D9D9"/>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Nombre de la variable 2</w:t>
            </w:r>
          </w:p>
        </w:tc>
        <w:tc>
          <w:tcPr>
            <w:tcW w:w="5477" w:type="dxa"/>
            <w:gridSpan w:val="4"/>
            <w:tcBorders>
              <w:top w:val="single" w:sz="12" w:space="0" w:color="808080"/>
              <w:left w:val="nil"/>
              <w:bottom w:val="single" w:sz="12" w:space="0" w:color="808080"/>
              <w:right w:val="single" w:sz="12" w:space="0" w:color="808080"/>
            </w:tcBorders>
            <w:shd w:val="clear" w:color="000000" w:fill="D9D9D9"/>
            <w:vAlign w:val="center"/>
            <w:hideMark/>
          </w:tcPr>
          <w:p w:rsidR="00A30FF0" w:rsidRPr="00B31FFC" w:rsidRDefault="00A30FF0" w:rsidP="000F6ADC">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Valor observado de la variable 2 en 2017</w:t>
            </w:r>
          </w:p>
        </w:tc>
      </w:tr>
      <w:tr w:rsidR="00A30FF0" w:rsidRPr="00B31FFC" w:rsidTr="000F6ADC">
        <w:trPr>
          <w:trHeight w:val="312"/>
        </w:trPr>
        <w:tc>
          <w:tcPr>
            <w:tcW w:w="3781" w:type="dxa"/>
            <w:gridSpan w:val="3"/>
            <w:tcBorders>
              <w:top w:val="single" w:sz="12" w:space="0" w:color="808080"/>
              <w:left w:val="single" w:sz="12" w:space="0" w:color="808080"/>
              <w:bottom w:val="single" w:sz="12" w:space="0" w:color="808080"/>
              <w:right w:val="single" w:sz="12" w:space="0" w:color="808080"/>
            </w:tcBorders>
            <w:shd w:val="clear" w:color="000000" w:fill="F2F2F2"/>
            <w:vAlign w:val="center"/>
            <w:hideMark/>
          </w:tcPr>
          <w:p w:rsidR="00A30FF0" w:rsidRPr="00B31FFC" w:rsidRDefault="00A30FF0" w:rsidP="005220A8">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Total de pequeños productores atendidos con cartera vigente durante el ejercicio 2014</w:t>
            </w:r>
            <w:r w:rsidR="00A17DD7">
              <w:rPr>
                <w:rFonts w:ascii="Soberana Sans" w:eastAsia="Times New Roman" w:hAnsi="Soberana Sans" w:cs="Calibri"/>
                <w:color w:val="000000"/>
                <w:szCs w:val="17"/>
                <w:lang w:eastAsia="es-MX"/>
              </w:rPr>
              <w:t>.</w:t>
            </w:r>
          </w:p>
        </w:tc>
        <w:tc>
          <w:tcPr>
            <w:tcW w:w="5477" w:type="dxa"/>
            <w:gridSpan w:val="4"/>
            <w:tcBorders>
              <w:top w:val="single" w:sz="12" w:space="0" w:color="808080"/>
              <w:left w:val="nil"/>
              <w:bottom w:val="single" w:sz="12" w:space="0" w:color="808080"/>
              <w:right w:val="single" w:sz="12" w:space="0" w:color="808080"/>
            </w:tcBorders>
            <w:shd w:val="clear" w:color="000000" w:fill="F2F2F2"/>
            <w:vAlign w:val="center"/>
            <w:hideMark/>
          </w:tcPr>
          <w:p w:rsidR="00A30FF0" w:rsidRPr="00B31FFC" w:rsidRDefault="00A30FF0" w:rsidP="00567E16">
            <w:pPr>
              <w:spacing w:after="0" w:line="240" w:lineRule="auto"/>
              <w:jc w:val="center"/>
              <w:rPr>
                <w:rFonts w:ascii="Soberana Sans" w:eastAsia="Times New Roman" w:hAnsi="Soberana Sans" w:cs="Calibri"/>
                <w:color w:val="000000"/>
                <w:szCs w:val="17"/>
                <w:lang w:eastAsia="es-MX"/>
              </w:rPr>
            </w:pPr>
            <w:r w:rsidRPr="00B31FFC">
              <w:rPr>
                <w:rFonts w:ascii="Soberana Sans" w:eastAsia="Times New Roman" w:hAnsi="Soberana Sans" w:cs="Calibri"/>
                <w:color w:val="000000"/>
                <w:szCs w:val="17"/>
                <w:lang w:eastAsia="es-MX"/>
              </w:rPr>
              <w:t xml:space="preserve">      42,914 </w:t>
            </w:r>
          </w:p>
        </w:tc>
      </w:tr>
    </w:tbl>
    <w:p w:rsidR="00A30FF0" w:rsidRPr="008E570F" w:rsidRDefault="00A30FF0" w:rsidP="00A30FF0">
      <w:pPr>
        <w:spacing w:after="0" w:line="240" w:lineRule="auto"/>
        <w:rPr>
          <w:lang w:val="es-ES_tradnl"/>
        </w:rPr>
      </w:pPr>
      <w:r w:rsidRPr="008E570F">
        <w:rPr>
          <w:lang w:val="es-ES_tradnl"/>
        </w:rPr>
        <w:t>­ NA: No aplica, en tanto que, derivado del año de la línea base y la frecuencia de medición del indicador, no corresponde reportar valor observado del indicador para este año.</w:t>
      </w:r>
    </w:p>
    <w:p w:rsidR="00A30FF0" w:rsidRDefault="00A30FF0" w:rsidP="00A30FF0">
      <w:pPr>
        <w:pStyle w:val="TITULO1APARTADO"/>
        <w:rPr>
          <w:lang w:val="es-ES_tradnl"/>
        </w:rPr>
      </w:pPr>
    </w:p>
    <w:p w:rsidR="00A30FF0" w:rsidRDefault="00A30FF0" w:rsidP="00A30FF0">
      <w:pPr>
        <w:pStyle w:val="TITULO1APARTADO"/>
        <w:rPr>
          <w:lang w:val="es-ES_tradnl"/>
        </w:rPr>
      </w:pPr>
    </w:p>
    <w:p w:rsidR="00A30FF0" w:rsidRDefault="00A30FF0" w:rsidP="00A30FF0">
      <w:pPr>
        <w:pStyle w:val="TITULO1APARTADO"/>
        <w:rPr>
          <w:lang w:val="es-ES_tradnl"/>
        </w:rPr>
      </w:pPr>
    </w:p>
    <w:p w:rsidR="00A30FF0" w:rsidRDefault="00A30FF0" w:rsidP="00A30FF0">
      <w:pPr>
        <w:pStyle w:val="TITULO1APARTADO"/>
        <w:rPr>
          <w:lang w:val="es-ES_tradnl"/>
        </w:rPr>
      </w:pPr>
    </w:p>
    <w:p w:rsidR="00A30FF0" w:rsidRDefault="00A30FF0" w:rsidP="00A30FF0">
      <w:pPr>
        <w:pStyle w:val="TITULO1APARTADO"/>
        <w:rPr>
          <w:lang w:val="es-ES_tradnl"/>
        </w:rPr>
      </w:pPr>
    </w:p>
    <w:p w:rsidR="00A30FF0" w:rsidRDefault="00A30FF0" w:rsidP="00A30FF0">
      <w:pPr>
        <w:pStyle w:val="TITULO1APARTADO"/>
        <w:rPr>
          <w:lang w:val="es-ES_tradnl"/>
        </w:rPr>
      </w:pPr>
    </w:p>
    <w:p w:rsidR="0011525B" w:rsidRDefault="0011525B" w:rsidP="0011525B">
      <w:pPr>
        <w:rPr>
          <w:lang w:val="es-ES_tradnl"/>
        </w:rPr>
      </w:pPr>
    </w:p>
    <w:p w:rsidR="0011525B" w:rsidRDefault="0011525B" w:rsidP="0011525B">
      <w:pPr>
        <w:rPr>
          <w:lang w:val="es-ES_tradnl"/>
        </w:rPr>
      </w:pPr>
    </w:p>
    <w:p w:rsidR="0011525B" w:rsidRDefault="0011525B" w:rsidP="0011525B">
      <w:pPr>
        <w:rPr>
          <w:lang w:val="es-ES_tradnl"/>
        </w:rPr>
      </w:pPr>
    </w:p>
    <w:p w:rsidR="0011525B" w:rsidRDefault="0011525B" w:rsidP="0011525B">
      <w:pPr>
        <w:rPr>
          <w:lang w:val="es-ES_tradnl"/>
        </w:rPr>
      </w:pPr>
    </w:p>
    <w:p w:rsidR="0011525B" w:rsidRPr="0011525B" w:rsidRDefault="0011525B" w:rsidP="0011525B">
      <w:pPr>
        <w:rPr>
          <w:lang w:val="es-ES_tradnl"/>
        </w:rPr>
      </w:pPr>
    </w:p>
    <w:tbl>
      <w:tblPr>
        <w:tblW w:w="9380" w:type="dxa"/>
        <w:tblCellMar>
          <w:left w:w="70" w:type="dxa"/>
          <w:right w:w="70" w:type="dxa"/>
        </w:tblCellMar>
        <w:tblLook w:val="04A0" w:firstRow="1" w:lastRow="0" w:firstColumn="1" w:lastColumn="0" w:noHBand="0" w:noVBand="1"/>
      </w:tblPr>
      <w:tblGrid>
        <w:gridCol w:w="849"/>
        <w:gridCol w:w="1491"/>
        <w:gridCol w:w="1491"/>
        <w:gridCol w:w="1491"/>
        <w:gridCol w:w="1491"/>
        <w:gridCol w:w="1491"/>
        <w:gridCol w:w="1076"/>
      </w:tblGrid>
      <w:tr w:rsidR="00A30FF0" w:rsidRPr="00B81D09" w:rsidTr="000F6ADC">
        <w:trPr>
          <w:trHeight w:val="177"/>
        </w:trPr>
        <w:tc>
          <w:tcPr>
            <w:tcW w:w="2340" w:type="dxa"/>
            <w:gridSpan w:val="2"/>
            <w:tcBorders>
              <w:top w:val="single" w:sz="12" w:space="0" w:color="808080"/>
              <w:left w:val="single" w:sz="12" w:space="0" w:color="808080"/>
              <w:bottom w:val="nil"/>
              <w:right w:val="single" w:sz="12" w:space="0" w:color="808080"/>
            </w:tcBorders>
            <w:shd w:val="clear" w:color="000000" w:fill="D9D9D9"/>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lastRenderedPageBreak/>
              <w:t> </w:t>
            </w:r>
          </w:p>
        </w:tc>
        <w:tc>
          <w:tcPr>
            <w:tcW w:w="7040" w:type="dxa"/>
            <w:gridSpan w:val="5"/>
            <w:vMerge w:val="restart"/>
            <w:tcBorders>
              <w:top w:val="single" w:sz="12" w:space="0" w:color="808080"/>
              <w:left w:val="single" w:sz="12" w:space="0" w:color="808080"/>
              <w:bottom w:val="single" w:sz="12" w:space="0" w:color="808080"/>
              <w:right w:val="single" w:sz="12" w:space="0" w:color="808080"/>
            </w:tcBorders>
            <w:shd w:val="clear" w:color="000000" w:fill="F2F2F2"/>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Desarrollar y fortalecer Intermediarios Financieros Rurales para lograr una cobertura nacional..</w:t>
            </w:r>
          </w:p>
        </w:tc>
      </w:tr>
      <w:tr w:rsidR="00A30FF0" w:rsidRPr="00B81D09" w:rsidTr="000F6ADC">
        <w:trPr>
          <w:trHeight w:val="169"/>
        </w:trPr>
        <w:tc>
          <w:tcPr>
            <w:tcW w:w="2340" w:type="dxa"/>
            <w:gridSpan w:val="2"/>
            <w:tcBorders>
              <w:top w:val="nil"/>
              <w:left w:val="single" w:sz="12" w:space="0" w:color="808080"/>
              <w:bottom w:val="nil"/>
              <w:right w:val="single" w:sz="12" w:space="0" w:color="808080"/>
            </w:tcBorders>
            <w:shd w:val="clear" w:color="000000" w:fill="D9D9D9"/>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 xml:space="preserve">Objetivo 4. </w:t>
            </w:r>
          </w:p>
        </w:tc>
        <w:tc>
          <w:tcPr>
            <w:tcW w:w="7040" w:type="dxa"/>
            <w:gridSpan w:val="5"/>
            <w:vMerge/>
            <w:tcBorders>
              <w:top w:val="single" w:sz="12" w:space="0" w:color="808080"/>
              <w:left w:val="single" w:sz="12" w:space="0" w:color="808080"/>
              <w:bottom w:val="single" w:sz="12" w:space="0" w:color="808080"/>
              <w:right w:val="single" w:sz="12" w:space="0" w:color="808080"/>
            </w:tcBorders>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p>
        </w:tc>
      </w:tr>
      <w:tr w:rsidR="00A30FF0" w:rsidRPr="00B81D09" w:rsidTr="000F6ADC">
        <w:trPr>
          <w:trHeight w:val="177"/>
        </w:trPr>
        <w:tc>
          <w:tcPr>
            <w:tcW w:w="2340" w:type="dxa"/>
            <w:gridSpan w:val="2"/>
            <w:tcBorders>
              <w:top w:val="nil"/>
              <w:left w:val="single" w:sz="12" w:space="0" w:color="808080"/>
              <w:bottom w:val="single" w:sz="12" w:space="0" w:color="808080"/>
              <w:right w:val="single" w:sz="12" w:space="0" w:color="808080"/>
            </w:tcBorders>
            <w:shd w:val="clear" w:color="000000" w:fill="D9D9D9"/>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 </w:t>
            </w:r>
          </w:p>
        </w:tc>
        <w:tc>
          <w:tcPr>
            <w:tcW w:w="7040" w:type="dxa"/>
            <w:gridSpan w:val="5"/>
            <w:vMerge/>
            <w:tcBorders>
              <w:top w:val="single" w:sz="12" w:space="0" w:color="808080"/>
              <w:left w:val="single" w:sz="12" w:space="0" w:color="808080"/>
              <w:bottom w:val="single" w:sz="12" w:space="0" w:color="808080"/>
              <w:right w:val="single" w:sz="12" w:space="0" w:color="808080"/>
            </w:tcBorders>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p>
        </w:tc>
      </w:tr>
      <w:tr w:rsidR="00A30FF0" w:rsidRPr="00B81D09" w:rsidTr="000F6ADC">
        <w:trPr>
          <w:trHeight w:val="177"/>
        </w:trPr>
        <w:tc>
          <w:tcPr>
            <w:tcW w:w="2340" w:type="dxa"/>
            <w:gridSpan w:val="2"/>
            <w:tcBorders>
              <w:top w:val="single" w:sz="12" w:space="0" w:color="808080"/>
              <w:left w:val="single" w:sz="12" w:space="0" w:color="808080"/>
              <w:bottom w:val="nil"/>
              <w:right w:val="single" w:sz="12" w:space="0" w:color="808080"/>
            </w:tcBorders>
            <w:shd w:val="clear" w:color="000000" w:fill="D9D9D9"/>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 </w:t>
            </w:r>
          </w:p>
        </w:tc>
        <w:tc>
          <w:tcPr>
            <w:tcW w:w="7040" w:type="dxa"/>
            <w:gridSpan w:val="5"/>
            <w:vMerge w:val="restart"/>
            <w:tcBorders>
              <w:top w:val="single" w:sz="12" w:space="0" w:color="808080"/>
              <w:left w:val="single" w:sz="12" w:space="0" w:color="808080"/>
              <w:bottom w:val="single" w:sz="12" w:space="0" w:color="808080"/>
              <w:right w:val="single" w:sz="12" w:space="0" w:color="808080"/>
            </w:tcBorders>
            <w:shd w:val="clear" w:color="000000" w:fill="F2F2F2"/>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Intermediarios Financieros Rurales con saldo de crédito al cierre del ejercicio.</w:t>
            </w:r>
          </w:p>
        </w:tc>
      </w:tr>
      <w:tr w:rsidR="00A30FF0" w:rsidRPr="00B81D09" w:rsidTr="000F6ADC">
        <w:trPr>
          <w:trHeight w:val="169"/>
        </w:trPr>
        <w:tc>
          <w:tcPr>
            <w:tcW w:w="2340" w:type="dxa"/>
            <w:gridSpan w:val="2"/>
            <w:tcBorders>
              <w:top w:val="nil"/>
              <w:left w:val="single" w:sz="12" w:space="0" w:color="808080"/>
              <w:bottom w:val="nil"/>
              <w:right w:val="single" w:sz="12" w:space="0" w:color="808080"/>
            </w:tcBorders>
            <w:shd w:val="clear" w:color="000000" w:fill="D9D9D9"/>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Nombre del indicador</w:t>
            </w:r>
          </w:p>
        </w:tc>
        <w:tc>
          <w:tcPr>
            <w:tcW w:w="7040" w:type="dxa"/>
            <w:gridSpan w:val="5"/>
            <w:vMerge/>
            <w:tcBorders>
              <w:top w:val="single" w:sz="12" w:space="0" w:color="808080"/>
              <w:left w:val="single" w:sz="12" w:space="0" w:color="808080"/>
              <w:bottom w:val="single" w:sz="12" w:space="0" w:color="808080"/>
              <w:right w:val="single" w:sz="12" w:space="0" w:color="808080"/>
            </w:tcBorders>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p>
        </w:tc>
      </w:tr>
      <w:tr w:rsidR="00A30FF0" w:rsidRPr="00B81D09" w:rsidTr="000F6ADC">
        <w:trPr>
          <w:trHeight w:val="177"/>
        </w:trPr>
        <w:tc>
          <w:tcPr>
            <w:tcW w:w="2340" w:type="dxa"/>
            <w:gridSpan w:val="2"/>
            <w:tcBorders>
              <w:top w:val="nil"/>
              <w:left w:val="single" w:sz="12" w:space="0" w:color="808080"/>
              <w:bottom w:val="single" w:sz="12" w:space="0" w:color="808080"/>
              <w:right w:val="single" w:sz="12" w:space="0" w:color="808080"/>
            </w:tcBorders>
            <w:shd w:val="clear" w:color="000000" w:fill="D9D9D9"/>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 </w:t>
            </w:r>
          </w:p>
        </w:tc>
        <w:tc>
          <w:tcPr>
            <w:tcW w:w="7040" w:type="dxa"/>
            <w:gridSpan w:val="5"/>
            <w:vMerge/>
            <w:tcBorders>
              <w:top w:val="single" w:sz="12" w:space="0" w:color="808080"/>
              <w:left w:val="single" w:sz="12" w:space="0" w:color="808080"/>
              <w:bottom w:val="single" w:sz="12" w:space="0" w:color="808080"/>
              <w:right w:val="single" w:sz="12" w:space="0" w:color="808080"/>
            </w:tcBorders>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p>
        </w:tc>
      </w:tr>
      <w:tr w:rsidR="00A30FF0" w:rsidRPr="00B81D09" w:rsidTr="000F6ADC">
        <w:trPr>
          <w:trHeight w:val="177"/>
        </w:trPr>
        <w:tc>
          <w:tcPr>
            <w:tcW w:w="2340" w:type="dxa"/>
            <w:gridSpan w:val="2"/>
            <w:tcBorders>
              <w:top w:val="single" w:sz="12" w:space="0" w:color="808080"/>
              <w:left w:val="single" w:sz="12" w:space="0" w:color="808080"/>
              <w:bottom w:val="nil"/>
              <w:right w:val="single" w:sz="12" w:space="0" w:color="808080"/>
            </w:tcBorders>
            <w:shd w:val="clear" w:color="000000" w:fill="D9D9D9"/>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 </w:t>
            </w:r>
          </w:p>
        </w:tc>
        <w:tc>
          <w:tcPr>
            <w:tcW w:w="7040" w:type="dxa"/>
            <w:gridSpan w:val="5"/>
            <w:vMerge w:val="restart"/>
            <w:tcBorders>
              <w:top w:val="single" w:sz="12" w:space="0" w:color="808080"/>
              <w:left w:val="single" w:sz="12" w:space="0" w:color="808080"/>
              <w:bottom w:val="single" w:sz="12" w:space="0" w:color="808080"/>
              <w:right w:val="single" w:sz="12" w:space="0" w:color="808080"/>
            </w:tcBorders>
            <w:shd w:val="clear" w:color="000000" w:fill="F2F2F2"/>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Informe de Autoevaluación</w:t>
            </w:r>
            <w:r w:rsidR="00A17DD7">
              <w:rPr>
                <w:rFonts w:ascii="Soberana Sans" w:eastAsia="Times New Roman" w:hAnsi="Soberana Sans" w:cs="Calibri"/>
                <w:color w:val="000000"/>
                <w:szCs w:val="17"/>
                <w:lang w:eastAsia="es-MX"/>
              </w:rPr>
              <w:t>.</w:t>
            </w:r>
            <w:r w:rsidRPr="00B81D09">
              <w:rPr>
                <w:rFonts w:ascii="Soberana Sans" w:eastAsia="Times New Roman" w:hAnsi="Soberana Sans" w:cs="Calibri"/>
                <w:color w:val="000000"/>
                <w:szCs w:val="17"/>
                <w:lang w:eastAsia="es-MX"/>
              </w:rPr>
              <w:t xml:space="preserve">  </w:t>
            </w:r>
          </w:p>
        </w:tc>
      </w:tr>
      <w:tr w:rsidR="00A30FF0" w:rsidRPr="00B81D09" w:rsidTr="000F6ADC">
        <w:trPr>
          <w:trHeight w:val="253"/>
        </w:trPr>
        <w:tc>
          <w:tcPr>
            <w:tcW w:w="2340" w:type="dxa"/>
            <w:gridSpan w:val="2"/>
            <w:tcBorders>
              <w:top w:val="nil"/>
              <w:left w:val="single" w:sz="12" w:space="0" w:color="808080"/>
              <w:bottom w:val="nil"/>
              <w:right w:val="single" w:sz="12" w:space="0" w:color="808080"/>
            </w:tcBorders>
            <w:shd w:val="clear" w:color="000000" w:fill="D9D9D9"/>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Fuente de información o medio de verificación</w:t>
            </w:r>
          </w:p>
        </w:tc>
        <w:tc>
          <w:tcPr>
            <w:tcW w:w="7040" w:type="dxa"/>
            <w:gridSpan w:val="5"/>
            <w:vMerge/>
            <w:tcBorders>
              <w:top w:val="single" w:sz="12" w:space="0" w:color="808080"/>
              <w:left w:val="single" w:sz="12" w:space="0" w:color="808080"/>
              <w:bottom w:val="single" w:sz="12" w:space="0" w:color="808080"/>
              <w:right w:val="single" w:sz="12" w:space="0" w:color="808080"/>
            </w:tcBorders>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p>
        </w:tc>
      </w:tr>
      <w:tr w:rsidR="00A30FF0" w:rsidRPr="00B81D09" w:rsidTr="000F6ADC">
        <w:trPr>
          <w:trHeight w:val="177"/>
        </w:trPr>
        <w:tc>
          <w:tcPr>
            <w:tcW w:w="2340" w:type="dxa"/>
            <w:gridSpan w:val="2"/>
            <w:tcBorders>
              <w:top w:val="nil"/>
              <w:left w:val="single" w:sz="12" w:space="0" w:color="808080"/>
              <w:bottom w:val="single" w:sz="12" w:space="0" w:color="808080"/>
              <w:right w:val="single" w:sz="12" w:space="0" w:color="808080"/>
            </w:tcBorders>
            <w:shd w:val="clear" w:color="000000" w:fill="D9D9D9"/>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 </w:t>
            </w:r>
          </w:p>
        </w:tc>
        <w:tc>
          <w:tcPr>
            <w:tcW w:w="7040" w:type="dxa"/>
            <w:gridSpan w:val="5"/>
            <w:vMerge/>
            <w:tcBorders>
              <w:top w:val="single" w:sz="12" w:space="0" w:color="808080"/>
              <w:left w:val="single" w:sz="12" w:space="0" w:color="808080"/>
              <w:bottom w:val="single" w:sz="12" w:space="0" w:color="808080"/>
              <w:right w:val="single" w:sz="12" w:space="0" w:color="808080"/>
            </w:tcBorders>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p>
        </w:tc>
      </w:tr>
      <w:tr w:rsidR="00A30FF0" w:rsidRPr="00B81D09" w:rsidTr="000F6ADC">
        <w:trPr>
          <w:trHeight w:val="380"/>
        </w:trPr>
        <w:tc>
          <w:tcPr>
            <w:tcW w:w="2340" w:type="dxa"/>
            <w:gridSpan w:val="2"/>
            <w:tcBorders>
              <w:top w:val="single" w:sz="12" w:space="0" w:color="808080"/>
              <w:left w:val="single" w:sz="12" w:space="0" w:color="808080"/>
              <w:bottom w:val="single" w:sz="12" w:space="0" w:color="808080"/>
              <w:right w:val="single" w:sz="12" w:space="0" w:color="808080"/>
            </w:tcBorders>
            <w:shd w:val="clear" w:color="000000" w:fill="D9D9D9"/>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Dirección electrónica donde puede verificarse el valor del indicador</w:t>
            </w:r>
          </w:p>
        </w:tc>
        <w:tc>
          <w:tcPr>
            <w:tcW w:w="7040" w:type="dxa"/>
            <w:gridSpan w:val="5"/>
            <w:tcBorders>
              <w:top w:val="single" w:sz="12" w:space="0" w:color="808080"/>
              <w:left w:val="nil"/>
              <w:bottom w:val="single" w:sz="12" w:space="0" w:color="808080"/>
              <w:right w:val="single" w:sz="12" w:space="0" w:color="808080"/>
            </w:tcBorders>
            <w:shd w:val="clear" w:color="000000" w:fill="F2F2F2"/>
            <w:vAlign w:val="center"/>
            <w:hideMark/>
          </w:tcPr>
          <w:p w:rsidR="00A30FF0" w:rsidRPr="00B81D09" w:rsidRDefault="00D45EA0" w:rsidP="000F6ADC">
            <w:pPr>
              <w:spacing w:after="0" w:line="240" w:lineRule="auto"/>
              <w:rPr>
                <w:rFonts w:ascii="Calibri" w:eastAsia="Times New Roman" w:hAnsi="Calibri" w:cs="Calibri"/>
                <w:color w:val="0563C1"/>
                <w:sz w:val="22"/>
                <w:u w:val="single"/>
                <w:lang w:eastAsia="es-MX"/>
              </w:rPr>
            </w:pPr>
            <w:hyperlink r:id="rId24" w:history="1">
              <w:r w:rsidR="00A30FF0" w:rsidRPr="00B81D09">
                <w:rPr>
                  <w:rFonts w:ascii="Soberana Sans" w:eastAsia="Times New Roman" w:hAnsi="Soberana Sans" w:cs="Calibri"/>
                  <w:color w:val="000000"/>
                  <w:szCs w:val="17"/>
                  <w:lang w:eastAsia="es-MX"/>
                </w:rPr>
                <w:t>www.gob.mx/fnd</w:t>
              </w:r>
            </w:hyperlink>
          </w:p>
        </w:tc>
      </w:tr>
      <w:tr w:rsidR="00A30FF0" w:rsidRPr="00B81D09" w:rsidTr="000F6ADC">
        <w:trPr>
          <w:trHeight w:val="321"/>
        </w:trPr>
        <w:tc>
          <w:tcPr>
            <w:tcW w:w="849" w:type="dxa"/>
            <w:tcBorders>
              <w:top w:val="nil"/>
              <w:left w:val="single" w:sz="12" w:space="0" w:color="808080"/>
              <w:bottom w:val="single" w:sz="12" w:space="0" w:color="808080"/>
              <w:right w:val="single" w:sz="12" w:space="0" w:color="808080"/>
            </w:tcBorders>
            <w:shd w:val="clear" w:color="000000" w:fill="D9D9D9"/>
            <w:vAlign w:val="center"/>
            <w:hideMark/>
          </w:tcPr>
          <w:p w:rsidR="00A30FF0" w:rsidRPr="00B81D09" w:rsidRDefault="00A30FF0" w:rsidP="000F6ADC">
            <w:pPr>
              <w:spacing w:after="0" w:line="240" w:lineRule="auto"/>
              <w:jc w:val="center"/>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 xml:space="preserve">Línea base </w:t>
            </w:r>
          </w:p>
        </w:tc>
        <w:tc>
          <w:tcPr>
            <w:tcW w:w="1491" w:type="dxa"/>
            <w:vMerge w:val="restart"/>
            <w:tcBorders>
              <w:top w:val="nil"/>
              <w:left w:val="single" w:sz="12" w:space="0" w:color="808080"/>
              <w:bottom w:val="single" w:sz="12" w:space="0" w:color="808080"/>
              <w:right w:val="single" w:sz="12" w:space="0" w:color="808080"/>
            </w:tcBorders>
            <w:shd w:val="clear" w:color="000000" w:fill="D9D9D9"/>
            <w:vAlign w:val="center"/>
            <w:hideMark/>
          </w:tcPr>
          <w:p w:rsidR="00A30FF0" w:rsidRPr="00B81D09" w:rsidRDefault="00A30FF0" w:rsidP="000F6ADC">
            <w:pPr>
              <w:spacing w:after="0" w:line="240" w:lineRule="auto"/>
              <w:jc w:val="center"/>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Valor observado del indicador en 2013</w:t>
            </w:r>
          </w:p>
        </w:tc>
        <w:tc>
          <w:tcPr>
            <w:tcW w:w="1491" w:type="dxa"/>
            <w:vMerge w:val="restart"/>
            <w:tcBorders>
              <w:top w:val="nil"/>
              <w:left w:val="single" w:sz="12" w:space="0" w:color="808080"/>
              <w:bottom w:val="single" w:sz="12" w:space="0" w:color="808080"/>
              <w:right w:val="single" w:sz="12" w:space="0" w:color="808080"/>
            </w:tcBorders>
            <w:shd w:val="clear" w:color="000000" w:fill="D9D9D9"/>
            <w:vAlign w:val="center"/>
            <w:hideMark/>
          </w:tcPr>
          <w:p w:rsidR="00A30FF0" w:rsidRPr="00B81D09" w:rsidRDefault="00A30FF0" w:rsidP="000F6ADC">
            <w:pPr>
              <w:spacing w:after="0" w:line="240" w:lineRule="auto"/>
              <w:jc w:val="center"/>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Valor observado del indicador en 2014</w:t>
            </w:r>
          </w:p>
        </w:tc>
        <w:tc>
          <w:tcPr>
            <w:tcW w:w="1491" w:type="dxa"/>
            <w:vMerge w:val="restart"/>
            <w:tcBorders>
              <w:top w:val="nil"/>
              <w:left w:val="single" w:sz="12" w:space="0" w:color="808080"/>
              <w:bottom w:val="single" w:sz="12" w:space="0" w:color="808080"/>
              <w:right w:val="single" w:sz="12" w:space="0" w:color="808080"/>
            </w:tcBorders>
            <w:shd w:val="clear" w:color="000000" w:fill="D9D9D9"/>
            <w:vAlign w:val="center"/>
            <w:hideMark/>
          </w:tcPr>
          <w:p w:rsidR="00A30FF0" w:rsidRPr="00B81D09" w:rsidRDefault="00A30FF0" w:rsidP="000F6ADC">
            <w:pPr>
              <w:spacing w:after="0" w:line="240" w:lineRule="auto"/>
              <w:jc w:val="center"/>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Valor observado del indicador en 2015</w:t>
            </w:r>
          </w:p>
        </w:tc>
        <w:tc>
          <w:tcPr>
            <w:tcW w:w="1491" w:type="dxa"/>
            <w:vMerge w:val="restart"/>
            <w:tcBorders>
              <w:top w:val="nil"/>
              <w:left w:val="single" w:sz="12" w:space="0" w:color="808080"/>
              <w:bottom w:val="single" w:sz="12" w:space="0" w:color="808080"/>
              <w:right w:val="single" w:sz="12" w:space="0" w:color="808080"/>
            </w:tcBorders>
            <w:shd w:val="clear" w:color="000000" w:fill="D9D9D9"/>
            <w:vAlign w:val="center"/>
            <w:hideMark/>
          </w:tcPr>
          <w:p w:rsidR="00A30FF0" w:rsidRPr="00B81D09" w:rsidRDefault="00A30FF0" w:rsidP="000F6ADC">
            <w:pPr>
              <w:spacing w:after="0" w:line="240" w:lineRule="auto"/>
              <w:jc w:val="center"/>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Valor observado del indicador en 2016</w:t>
            </w:r>
          </w:p>
        </w:tc>
        <w:tc>
          <w:tcPr>
            <w:tcW w:w="1491" w:type="dxa"/>
            <w:vMerge w:val="restart"/>
            <w:tcBorders>
              <w:top w:val="nil"/>
              <w:left w:val="single" w:sz="12" w:space="0" w:color="808080"/>
              <w:bottom w:val="single" w:sz="12" w:space="0" w:color="808080"/>
              <w:right w:val="single" w:sz="12" w:space="0" w:color="808080"/>
            </w:tcBorders>
            <w:shd w:val="clear" w:color="000000" w:fill="D9D9D9"/>
            <w:vAlign w:val="center"/>
            <w:hideMark/>
          </w:tcPr>
          <w:p w:rsidR="00A30FF0" w:rsidRPr="00B81D09" w:rsidRDefault="00A30FF0" w:rsidP="000F6ADC">
            <w:pPr>
              <w:spacing w:after="0" w:line="240" w:lineRule="auto"/>
              <w:jc w:val="center"/>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Valor observado del indicador en 2017</w:t>
            </w:r>
          </w:p>
        </w:tc>
        <w:tc>
          <w:tcPr>
            <w:tcW w:w="1076" w:type="dxa"/>
            <w:vMerge w:val="restart"/>
            <w:tcBorders>
              <w:top w:val="nil"/>
              <w:left w:val="single" w:sz="12" w:space="0" w:color="808080"/>
              <w:bottom w:val="single" w:sz="12" w:space="0" w:color="808080"/>
              <w:right w:val="single" w:sz="12" w:space="0" w:color="808080"/>
            </w:tcBorders>
            <w:shd w:val="clear" w:color="000000" w:fill="D9D9D9"/>
            <w:vAlign w:val="center"/>
            <w:hideMark/>
          </w:tcPr>
          <w:p w:rsidR="00A30FF0" w:rsidRPr="00B81D09" w:rsidRDefault="00A30FF0" w:rsidP="000F6ADC">
            <w:pPr>
              <w:spacing w:after="0" w:line="240" w:lineRule="auto"/>
              <w:jc w:val="center"/>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Meta 2018</w:t>
            </w:r>
          </w:p>
        </w:tc>
      </w:tr>
      <w:tr w:rsidR="00A30FF0" w:rsidRPr="00B81D09" w:rsidTr="000F6ADC">
        <w:trPr>
          <w:trHeight w:val="186"/>
        </w:trPr>
        <w:tc>
          <w:tcPr>
            <w:tcW w:w="849" w:type="dxa"/>
            <w:tcBorders>
              <w:top w:val="nil"/>
              <w:left w:val="single" w:sz="12" w:space="0" w:color="808080"/>
              <w:bottom w:val="single" w:sz="12" w:space="0" w:color="808080"/>
              <w:right w:val="single" w:sz="12" w:space="0" w:color="808080"/>
            </w:tcBorders>
            <w:shd w:val="clear" w:color="000000" w:fill="F2F2F2"/>
            <w:vAlign w:val="center"/>
            <w:hideMark/>
          </w:tcPr>
          <w:p w:rsidR="00A30FF0" w:rsidRPr="00B81D09" w:rsidRDefault="00A30FF0" w:rsidP="000F6ADC">
            <w:pPr>
              <w:spacing w:after="0" w:line="240" w:lineRule="auto"/>
              <w:jc w:val="center"/>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2013</w:t>
            </w:r>
          </w:p>
        </w:tc>
        <w:tc>
          <w:tcPr>
            <w:tcW w:w="1491" w:type="dxa"/>
            <w:vMerge/>
            <w:tcBorders>
              <w:top w:val="nil"/>
              <w:left w:val="single" w:sz="12" w:space="0" w:color="808080"/>
              <w:bottom w:val="single" w:sz="12" w:space="0" w:color="808080"/>
              <w:right w:val="single" w:sz="12" w:space="0" w:color="808080"/>
            </w:tcBorders>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p>
        </w:tc>
        <w:tc>
          <w:tcPr>
            <w:tcW w:w="1491" w:type="dxa"/>
            <w:vMerge/>
            <w:tcBorders>
              <w:top w:val="nil"/>
              <w:left w:val="single" w:sz="12" w:space="0" w:color="808080"/>
              <w:bottom w:val="single" w:sz="12" w:space="0" w:color="808080"/>
              <w:right w:val="single" w:sz="12" w:space="0" w:color="808080"/>
            </w:tcBorders>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p>
        </w:tc>
        <w:tc>
          <w:tcPr>
            <w:tcW w:w="1491" w:type="dxa"/>
            <w:vMerge/>
            <w:tcBorders>
              <w:top w:val="nil"/>
              <w:left w:val="single" w:sz="12" w:space="0" w:color="808080"/>
              <w:bottom w:val="single" w:sz="12" w:space="0" w:color="808080"/>
              <w:right w:val="single" w:sz="12" w:space="0" w:color="808080"/>
            </w:tcBorders>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p>
        </w:tc>
        <w:tc>
          <w:tcPr>
            <w:tcW w:w="1491" w:type="dxa"/>
            <w:vMerge/>
            <w:tcBorders>
              <w:top w:val="nil"/>
              <w:left w:val="single" w:sz="12" w:space="0" w:color="808080"/>
              <w:bottom w:val="single" w:sz="12" w:space="0" w:color="808080"/>
              <w:right w:val="single" w:sz="12" w:space="0" w:color="808080"/>
            </w:tcBorders>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p>
        </w:tc>
        <w:tc>
          <w:tcPr>
            <w:tcW w:w="1491" w:type="dxa"/>
            <w:vMerge/>
            <w:tcBorders>
              <w:top w:val="nil"/>
              <w:left w:val="single" w:sz="12" w:space="0" w:color="808080"/>
              <w:bottom w:val="single" w:sz="12" w:space="0" w:color="808080"/>
              <w:right w:val="single" w:sz="12" w:space="0" w:color="808080"/>
            </w:tcBorders>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p>
        </w:tc>
        <w:tc>
          <w:tcPr>
            <w:tcW w:w="1076" w:type="dxa"/>
            <w:vMerge/>
            <w:tcBorders>
              <w:top w:val="nil"/>
              <w:left w:val="single" w:sz="12" w:space="0" w:color="808080"/>
              <w:bottom w:val="single" w:sz="12" w:space="0" w:color="808080"/>
              <w:right w:val="single" w:sz="12" w:space="0" w:color="808080"/>
            </w:tcBorders>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p>
        </w:tc>
      </w:tr>
      <w:tr w:rsidR="00A30FF0" w:rsidRPr="00B81D09" w:rsidTr="000F6ADC">
        <w:trPr>
          <w:trHeight w:val="215"/>
        </w:trPr>
        <w:tc>
          <w:tcPr>
            <w:tcW w:w="849" w:type="dxa"/>
            <w:vMerge w:val="restart"/>
            <w:tcBorders>
              <w:top w:val="nil"/>
              <w:left w:val="single" w:sz="12" w:space="0" w:color="808080"/>
              <w:bottom w:val="single" w:sz="12" w:space="0" w:color="808080"/>
              <w:right w:val="single" w:sz="12" w:space="0" w:color="808080"/>
            </w:tcBorders>
            <w:shd w:val="clear" w:color="000000" w:fill="F2F2F2"/>
            <w:vAlign w:val="center"/>
            <w:hideMark/>
          </w:tcPr>
          <w:p w:rsidR="00A30FF0" w:rsidRPr="00B81D09" w:rsidRDefault="00A30FF0" w:rsidP="000F6ADC">
            <w:pPr>
              <w:spacing w:after="0" w:line="240" w:lineRule="auto"/>
              <w:jc w:val="center"/>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100</w:t>
            </w:r>
          </w:p>
        </w:tc>
        <w:tc>
          <w:tcPr>
            <w:tcW w:w="1491" w:type="dxa"/>
            <w:vMerge w:val="restart"/>
            <w:tcBorders>
              <w:top w:val="nil"/>
              <w:left w:val="single" w:sz="12" w:space="0" w:color="808080"/>
              <w:bottom w:val="single" w:sz="12" w:space="0" w:color="808080"/>
              <w:right w:val="single" w:sz="12" w:space="0" w:color="808080"/>
            </w:tcBorders>
            <w:shd w:val="clear" w:color="000000" w:fill="F2F2F2"/>
            <w:vAlign w:val="center"/>
            <w:hideMark/>
          </w:tcPr>
          <w:p w:rsidR="00A30FF0" w:rsidRPr="00B81D09" w:rsidRDefault="00A30FF0" w:rsidP="000F6ADC">
            <w:pPr>
              <w:spacing w:after="0" w:line="240" w:lineRule="auto"/>
              <w:jc w:val="center"/>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N/A</w:t>
            </w:r>
          </w:p>
        </w:tc>
        <w:tc>
          <w:tcPr>
            <w:tcW w:w="1491" w:type="dxa"/>
            <w:vMerge w:val="restart"/>
            <w:tcBorders>
              <w:top w:val="nil"/>
              <w:left w:val="single" w:sz="12" w:space="0" w:color="808080"/>
              <w:bottom w:val="single" w:sz="12" w:space="0" w:color="808080"/>
              <w:right w:val="single" w:sz="12" w:space="0" w:color="808080"/>
            </w:tcBorders>
            <w:shd w:val="clear" w:color="000000" w:fill="F2F2F2"/>
            <w:vAlign w:val="center"/>
            <w:hideMark/>
          </w:tcPr>
          <w:p w:rsidR="00A30FF0" w:rsidRPr="00B81D09" w:rsidRDefault="00A30FF0" w:rsidP="000F6ADC">
            <w:pPr>
              <w:spacing w:after="0" w:line="240" w:lineRule="auto"/>
              <w:jc w:val="center"/>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108.1</w:t>
            </w:r>
          </w:p>
        </w:tc>
        <w:tc>
          <w:tcPr>
            <w:tcW w:w="1491" w:type="dxa"/>
            <w:vMerge w:val="restart"/>
            <w:tcBorders>
              <w:top w:val="nil"/>
              <w:left w:val="single" w:sz="12" w:space="0" w:color="808080"/>
              <w:bottom w:val="single" w:sz="12" w:space="0" w:color="808080"/>
              <w:right w:val="single" w:sz="12" w:space="0" w:color="808080"/>
            </w:tcBorders>
            <w:shd w:val="clear" w:color="000000" w:fill="F2F2F2"/>
            <w:vAlign w:val="center"/>
            <w:hideMark/>
          </w:tcPr>
          <w:p w:rsidR="00A30FF0" w:rsidRPr="00B81D09" w:rsidRDefault="00A30FF0" w:rsidP="000F6ADC">
            <w:pPr>
              <w:spacing w:after="0" w:line="240" w:lineRule="auto"/>
              <w:jc w:val="center"/>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112.6</w:t>
            </w:r>
          </w:p>
        </w:tc>
        <w:tc>
          <w:tcPr>
            <w:tcW w:w="1491" w:type="dxa"/>
            <w:vMerge w:val="restart"/>
            <w:tcBorders>
              <w:top w:val="nil"/>
              <w:left w:val="single" w:sz="12" w:space="0" w:color="808080"/>
              <w:bottom w:val="single" w:sz="12" w:space="0" w:color="808080"/>
              <w:right w:val="single" w:sz="12" w:space="0" w:color="808080"/>
            </w:tcBorders>
            <w:shd w:val="clear" w:color="000000" w:fill="F2F2F2"/>
            <w:vAlign w:val="center"/>
            <w:hideMark/>
          </w:tcPr>
          <w:p w:rsidR="00A30FF0" w:rsidRPr="00B81D09" w:rsidRDefault="00A30FF0" w:rsidP="000F6ADC">
            <w:pPr>
              <w:spacing w:after="0" w:line="240" w:lineRule="auto"/>
              <w:jc w:val="center"/>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107.4</w:t>
            </w:r>
          </w:p>
        </w:tc>
        <w:tc>
          <w:tcPr>
            <w:tcW w:w="1491" w:type="dxa"/>
            <w:vMerge w:val="restart"/>
            <w:tcBorders>
              <w:top w:val="nil"/>
              <w:left w:val="single" w:sz="12" w:space="0" w:color="808080"/>
              <w:bottom w:val="single" w:sz="12" w:space="0" w:color="808080"/>
              <w:right w:val="single" w:sz="12" w:space="0" w:color="808080"/>
            </w:tcBorders>
            <w:shd w:val="clear" w:color="000000" w:fill="F2F2F2"/>
            <w:vAlign w:val="center"/>
            <w:hideMark/>
          </w:tcPr>
          <w:p w:rsidR="00A30FF0" w:rsidRPr="00B81D09" w:rsidRDefault="00A30FF0" w:rsidP="005220A8">
            <w:pPr>
              <w:spacing w:after="0" w:line="240" w:lineRule="auto"/>
              <w:jc w:val="center"/>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110.6</w:t>
            </w:r>
          </w:p>
        </w:tc>
        <w:tc>
          <w:tcPr>
            <w:tcW w:w="1076" w:type="dxa"/>
            <w:vMerge w:val="restart"/>
            <w:tcBorders>
              <w:top w:val="nil"/>
              <w:left w:val="single" w:sz="12" w:space="0" w:color="808080"/>
              <w:bottom w:val="single" w:sz="12" w:space="0" w:color="808080"/>
              <w:right w:val="single" w:sz="12" w:space="0" w:color="808080"/>
            </w:tcBorders>
            <w:shd w:val="clear" w:color="000000" w:fill="F2F2F2"/>
            <w:vAlign w:val="center"/>
            <w:hideMark/>
          </w:tcPr>
          <w:p w:rsidR="00A30FF0" w:rsidRPr="00B81D09" w:rsidRDefault="00A30FF0" w:rsidP="000F6ADC">
            <w:pPr>
              <w:spacing w:after="0" w:line="240" w:lineRule="auto"/>
              <w:jc w:val="center"/>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200</w:t>
            </w:r>
          </w:p>
        </w:tc>
      </w:tr>
      <w:tr w:rsidR="00A30FF0" w:rsidRPr="00B81D09" w:rsidTr="000F6ADC">
        <w:trPr>
          <w:trHeight w:val="315"/>
        </w:trPr>
        <w:tc>
          <w:tcPr>
            <w:tcW w:w="849" w:type="dxa"/>
            <w:vMerge/>
            <w:tcBorders>
              <w:top w:val="nil"/>
              <w:left w:val="single" w:sz="12" w:space="0" w:color="808080"/>
              <w:bottom w:val="single" w:sz="12" w:space="0" w:color="808080"/>
              <w:right w:val="single" w:sz="12" w:space="0" w:color="808080"/>
            </w:tcBorders>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p>
        </w:tc>
        <w:tc>
          <w:tcPr>
            <w:tcW w:w="1491" w:type="dxa"/>
            <w:vMerge/>
            <w:tcBorders>
              <w:top w:val="nil"/>
              <w:left w:val="single" w:sz="12" w:space="0" w:color="808080"/>
              <w:bottom w:val="single" w:sz="12" w:space="0" w:color="808080"/>
              <w:right w:val="single" w:sz="12" w:space="0" w:color="808080"/>
            </w:tcBorders>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p>
        </w:tc>
        <w:tc>
          <w:tcPr>
            <w:tcW w:w="1491" w:type="dxa"/>
            <w:vMerge/>
            <w:tcBorders>
              <w:top w:val="nil"/>
              <w:left w:val="single" w:sz="12" w:space="0" w:color="808080"/>
              <w:bottom w:val="single" w:sz="12" w:space="0" w:color="808080"/>
              <w:right w:val="single" w:sz="12" w:space="0" w:color="808080"/>
            </w:tcBorders>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p>
        </w:tc>
        <w:tc>
          <w:tcPr>
            <w:tcW w:w="1491" w:type="dxa"/>
            <w:vMerge/>
            <w:tcBorders>
              <w:top w:val="nil"/>
              <w:left w:val="single" w:sz="12" w:space="0" w:color="808080"/>
              <w:bottom w:val="single" w:sz="12" w:space="0" w:color="808080"/>
              <w:right w:val="single" w:sz="12" w:space="0" w:color="808080"/>
            </w:tcBorders>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p>
        </w:tc>
        <w:tc>
          <w:tcPr>
            <w:tcW w:w="1491" w:type="dxa"/>
            <w:vMerge/>
            <w:tcBorders>
              <w:top w:val="nil"/>
              <w:left w:val="single" w:sz="12" w:space="0" w:color="808080"/>
              <w:bottom w:val="single" w:sz="12" w:space="0" w:color="808080"/>
              <w:right w:val="single" w:sz="12" w:space="0" w:color="808080"/>
            </w:tcBorders>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p>
        </w:tc>
        <w:tc>
          <w:tcPr>
            <w:tcW w:w="1491" w:type="dxa"/>
            <w:vMerge/>
            <w:tcBorders>
              <w:top w:val="nil"/>
              <w:left w:val="single" w:sz="12" w:space="0" w:color="808080"/>
              <w:bottom w:val="single" w:sz="12" w:space="0" w:color="808080"/>
              <w:right w:val="single" w:sz="12" w:space="0" w:color="808080"/>
            </w:tcBorders>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p>
        </w:tc>
        <w:tc>
          <w:tcPr>
            <w:tcW w:w="1076" w:type="dxa"/>
            <w:vMerge/>
            <w:tcBorders>
              <w:top w:val="nil"/>
              <w:left w:val="single" w:sz="12" w:space="0" w:color="808080"/>
              <w:bottom w:val="single" w:sz="12" w:space="0" w:color="808080"/>
              <w:right w:val="single" w:sz="12" w:space="0" w:color="808080"/>
            </w:tcBorders>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p>
        </w:tc>
      </w:tr>
      <w:tr w:rsidR="00A30FF0" w:rsidRPr="00B81D09" w:rsidTr="000F6ADC">
        <w:trPr>
          <w:trHeight w:val="270"/>
        </w:trPr>
        <w:tc>
          <w:tcPr>
            <w:tcW w:w="3831" w:type="dxa"/>
            <w:gridSpan w:val="3"/>
            <w:tcBorders>
              <w:top w:val="single" w:sz="12" w:space="0" w:color="808080"/>
              <w:left w:val="single" w:sz="12" w:space="0" w:color="808080"/>
              <w:bottom w:val="single" w:sz="12" w:space="0" w:color="808080"/>
              <w:right w:val="single" w:sz="12" w:space="0" w:color="808080"/>
            </w:tcBorders>
            <w:shd w:val="clear" w:color="000000" w:fill="D9D9D9"/>
            <w:vAlign w:val="center"/>
            <w:hideMark/>
          </w:tcPr>
          <w:p w:rsidR="00A30FF0" w:rsidRPr="00B81D09" w:rsidRDefault="00A30FF0" w:rsidP="000F6ADC">
            <w:pPr>
              <w:spacing w:after="0" w:line="240" w:lineRule="auto"/>
              <w:jc w:val="center"/>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Método de cálculo</w:t>
            </w:r>
          </w:p>
        </w:tc>
        <w:tc>
          <w:tcPr>
            <w:tcW w:w="4473" w:type="dxa"/>
            <w:gridSpan w:val="3"/>
            <w:tcBorders>
              <w:top w:val="single" w:sz="12" w:space="0" w:color="808080"/>
              <w:left w:val="nil"/>
              <w:bottom w:val="single" w:sz="12" w:space="0" w:color="808080"/>
              <w:right w:val="single" w:sz="12" w:space="0" w:color="808080"/>
            </w:tcBorders>
            <w:shd w:val="clear" w:color="000000" w:fill="D9D9D9"/>
            <w:vAlign w:val="center"/>
            <w:hideMark/>
          </w:tcPr>
          <w:p w:rsidR="00A30FF0" w:rsidRPr="00B81D09" w:rsidRDefault="00A30FF0" w:rsidP="000F6ADC">
            <w:pPr>
              <w:spacing w:after="0" w:line="240" w:lineRule="auto"/>
              <w:jc w:val="center"/>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Unidad de Medida</w:t>
            </w:r>
          </w:p>
        </w:tc>
        <w:tc>
          <w:tcPr>
            <w:tcW w:w="1076" w:type="dxa"/>
            <w:tcBorders>
              <w:top w:val="nil"/>
              <w:left w:val="nil"/>
              <w:bottom w:val="single" w:sz="12" w:space="0" w:color="808080"/>
              <w:right w:val="single" w:sz="12" w:space="0" w:color="808080"/>
            </w:tcBorders>
            <w:shd w:val="clear" w:color="000000" w:fill="D9D9D9"/>
            <w:vAlign w:val="center"/>
            <w:hideMark/>
          </w:tcPr>
          <w:p w:rsidR="00A30FF0" w:rsidRPr="00B81D09" w:rsidRDefault="00A30FF0" w:rsidP="000F6ADC">
            <w:pPr>
              <w:spacing w:after="0" w:line="240" w:lineRule="auto"/>
              <w:jc w:val="center"/>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Frecuencia de medición</w:t>
            </w:r>
          </w:p>
        </w:tc>
      </w:tr>
      <w:tr w:rsidR="00A30FF0" w:rsidRPr="00B81D09" w:rsidTr="000F6ADC">
        <w:trPr>
          <w:trHeight w:val="668"/>
        </w:trPr>
        <w:tc>
          <w:tcPr>
            <w:tcW w:w="3831" w:type="dxa"/>
            <w:gridSpan w:val="3"/>
            <w:tcBorders>
              <w:top w:val="single" w:sz="12" w:space="0" w:color="808080"/>
              <w:left w:val="single" w:sz="12" w:space="0" w:color="808080"/>
              <w:bottom w:val="single" w:sz="12" w:space="0" w:color="808080"/>
              <w:right w:val="single" w:sz="12" w:space="0" w:color="808080"/>
            </w:tcBorders>
            <w:shd w:val="clear" w:color="000000" w:fill="F2F2F2"/>
            <w:vAlign w:val="center"/>
            <w:hideMark/>
          </w:tcPr>
          <w:p w:rsidR="00A30FF0" w:rsidRPr="00B81D09" w:rsidRDefault="00A30FF0" w:rsidP="000F6ADC">
            <w:pPr>
              <w:spacing w:after="0" w:line="240" w:lineRule="auto"/>
              <w:jc w:val="center"/>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Número de Empresas de Intermediación Financiera al cierre del ejercicio correspondiente entre el número de Empresas de Intermediación Financiera al cierre de 2013</w:t>
            </w:r>
          </w:p>
        </w:tc>
        <w:tc>
          <w:tcPr>
            <w:tcW w:w="4473" w:type="dxa"/>
            <w:gridSpan w:val="3"/>
            <w:tcBorders>
              <w:top w:val="single" w:sz="12" w:space="0" w:color="808080"/>
              <w:left w:val="nil"/>
              <w:bottom w:val="single" w:sz="12" w:space="0" w:color="808080"/>
              <w:right w:val="single" w:sz="12" w:space="0" w:color="808080"/>
            </w:tcBorders>
            <w:shd w:val="clear" w:color="000000" w:fill="F2F2F2"/>
            <w:vAlign w:val="center"/>
            <w:hideMark/>
          </w:tcPr>
          <w:p w:rsidR="00A30FF0" w:rsidRPr="00B81D09" w:rsidRDefault="00A30FF0" w:rsidP="000F6ADC">
            <w:pPr>
              <w:spacing w:after="0" w:line="240" w:lineRule="auto"/>
              <w:jc w:val="center"/>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porcentaje</w:t>
            </w:r>
          </w:p>
        </w:tc>
        <w:tc>
          <w:tcPr>
            <w:tcW w:w="1076" w:type="dxa"/>
            <w:tcBorders>
              <w:top w:val="nil"/>
              <w:left w:val="nil"/>
              <w:bottom w:val="single" w:sz="12" w:space="0" w:color="808080"/>
              <w:right w:val="single" w:sz="12" w:space="0" w:color="808080"/>
            </w:tcBorders>
            <w:shd w:val="clear" w:color="000000" w:fill="F2F2F2"/>
            <w:vAlign w:val="center"/>
            <w:hideMark/>
          </w:tcPr>
          <w:p w:rsidR="00A30FF0" w:rsidRPr="00B81D09" w:rsidRDefault="00A30FF0" w:rsidP="000F6ADC">
            <w:pPr>
              <w:spacing w:after="0" w:line="240" w:lineRule="auto"/>
              <w:jc w:val="center"/>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Anual</w:t>
            </w:r>
          </w:p>
        </w:tc>
      </w:tr>
      <w:tr w:rsidR="00A30FF0" w:rsidRPr="00B81D09" w:rsidTr="000F6ADC">
        <w:trPr>
          <w:trHeight w:val="186"/>
        </w:trPr>
        <w:tc>
          <w:tcPr>
            <w:tcW w:w="3831" w:type="dxa"/>
            <w:gridSpan w:val="3"/>
            <w:tcBorders>
              <w:top w:val="single" w:sz="12" w:space="0" w:color="808080"/>
              <w:left w:val="single" w:sz="12" w:space="0" w:color="808080"/>
              <w:bottom w:val="single" w:sz="12" w:space="0" w:color="808080"/>
              <w:right w:val="single" w:sz="12" w:space="0" w:color="808080"/>
            </w:tcBorders>
            <w:shd w:val="clear" w:color="000000" w:fill="D9D9D9"/>
            <w:vAlign w:val="center"/>
            <w:hideMark/>
          </w:tcPr>
          <w:p w:rsidR="00A30FF0" w:rsidRPr="00B81D09" w:rsidRDefault="00A30FF0" w:rsidP="000F6ADC">
            <w:pPr>
              <w:spacing w:after="0" w:line="240" w:lineRule="auto"/>
              <w:jc w:val="center"/>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Nombre de la variable 1</w:t>
            </w:r>
          </w:p>
        </w:tc>
        <w:tc>
          <w:tcPr>
            <w:tcW w:w="5549" w:type="dxa"/>
            <w:gridSpan w:val="4"/>
            <w:tcBorders>
              <w:top w:val="single" w:sz="12" w:space="0" w:color="808080"/>
              <w:left w:val="nil"/>
              <w:bottom w:val="single" w:sz="12" w:space="0" w:color="808080"/>
              <w:right w:val="single" w:sz="12" w:space="0" w:color="808080"/>
            </w:tcBorders>
            <w:shd w:val="clear" w:color="000000" w:fill="D9D9D9"/>
            <w:vAlign w:val="center"/>
            <w:hideMark/>
          </w:tcPr>
          <w:p w:rsidR="00A30FF0" w:rsidRPr="00B81D09" w:rsidRDefault="00A30FF0" w:rsidP="000F6ADC">
            <w:pPr>
              <w:spacing w:after="0" w:line="240" w:lineRule="auto"/>
              <w:jc w:val="center"/>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Valor observado de la variable 1 en 2017</w:t>
            </w:r>
          </w:p>
        </w:tc>
      </w:tr>
      <w:tr w:rsidR="00A30FF0" w:rsidRPr="00B81D09" w:rsidTr="000F6ADC">
        <w:trPr>
          <w:trHeight w:val="329"/>
        </w:trPr>
        <w:tc>
          <w:tcPr>
            <w:tcW w:w="3831" w:type="dxa"/>
            <w:gridSpan w:val="3"/>
            <w:tcBorders>
              <w:top w:val="single" w:sz="12" w:space="0" w:color="808080"/>
              <w:left w:val="single" w:sz="12" w:space="0" w:color="808080"/>
              <w:bottom w:val="single" w:sz="12" w:space="0" w:color="808080"/>
              <w:right w:val="single" w:sz="12" w:space="0" w:color="808080"/>
            </w:tcBorders>
            <w:shd w:val="clear" w:color="000000" w:fill="F2F2F2"/>
            <w:vAlign w:val="center"/>
            <w:hideMark/>
          </w:tcPr>
          <w:p w:rsidR="00A30FF0" w:rsidRPr="00B81D09" w:rsidRDefault="00A30FF0" w:rsidP="005220A8">
            <w:pPr>
              <w:spacing w:after="0" w:line="240" w:lineRule="auto"/>
              <w:jc w:val="center"/>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Número de Empresas de Intermediación Fin</w:t>
            </w:r>
            <w:r w:rsidR="00A17DD7">
              <w:rPr>
                <w:rFonts w:ascii="Soberana Sans" w:eastAsia="Times New Roman" w:hAnsi="Soberana Sans" w:cs="Calibri"/>
                <w:color w:val="000000"/>
                <w:szCs w:val="17"/>
                <w:lang w:eastAsia="es-MX"/>
              </w:rPr>
              <w:t>anciera al cierre del ejercicio.</w:t>
            </w:r>
          </w:p>
        </w:tc>
        <w:tc>
          <w:tcPr>
            <w:tcW w:w="5549" w:type="dxa"/>
            <w:gridSpan w:val="4"/>
            <w:tcBorders>
              <w:top w:val="single" w:sz="12" w:space="0" w:color="808080"/>
              <w:left w:val="nil"/>
              <w:bottom w:val="single" w:sz="12" w:space="0" w:color="808080"/>
              <w:right w:val="single" w:sz="12" w:space="0" w:color="808080"/>
            </w:tcBorders>
            <w:shd w:val="clear" w:color="000000" w:fill="F2F2F2"/>
            <w:vAlign w:val="center"/>
            <w:hideMark/>
          </w:tcPr>
          <w:p w:rsidR="00A30FF0" w:rsidRPr="00B81D09" w:rsidRDefault="00A30FF0" w:rsidP="000F6ADC">
            <w:pPr>
              <w:spacing w:after="0" w:line="240" w:lineRule="auto"/>
              <w:jc w:val="center"/>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448</w:t>
            </w:r>
          </w:p>
        </w:tc>
      </w:tr>
      <w:tr w:rsidR="00A30FF0" w:rsidRPr="00B81D09" w:rsidTr="000F6ADC">
        <w:trPr>
          <w:trHeight w:val="186"/>
        </w:trPr>
        <w:tc>
          <w:tcPr>
            <w:tcW w:w="3831" w:type="dxa"/>
            <w:gridSpan w:val="3"/>
            <w:tcBorders>
              <w:top w:val="single" w:sz="12" w:space="0" w:color="808080"/>
              <w:left w:val="single" w:sz="12" w:space="0" w:color="808080"/>
              <w:bottom w:val="single" w:sz="12" w:space="0" w:color="808080"/>
              <w:right w:val="single" w:sz="12" w:space="0" w:color="808080"/>
            </w:tcBorders>
            <w:shd w:val="clear" w:color="000000" w:fill="D9D9D9"/>
            <w:vAlign w:val="center"/>
            <w:hideMark/>
          </w:tcPr>
          <w:p w:rsidR="00A30FF0" w:rsidRPr="00B81D09" w:rsidRDefault="00A30FF0" w:rsidP="000F6ADC">
            <w:pPr>
              <w:spacing w:after="0" w:line="240" w:lineRule="auto"/>
              <w:jc w:val="center"/>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Nombre de la variable 2</w:t>
            </w:r>
          </w:p>
        </w:tc>
        <w:tc>
          <w:tcPr>
            <w:tcW w:w="5549" w:type="dxa"/>
            <w:gridSpan w:val="4"/>
            <w:tcBorders>
              <w:top w:val="single" w:sz="12" w:space="0" w:color="808080"/>
              <w:left w:val="nil"/>
              <w:bottom w:val="single" w:sz="12" w:space="0" w:color="808080"/>
              <w:right w:val="single" w:sz="12" w:space="0" w:color="808080"/>
            </w:tcBorders>
            <w:shd w:val="clear" w:color="000000" w:fill="D9D9D9"/>
            <w:vAlign w:val="center"/>
            <w:hideMark/>
          </w:tcPr>
          <w:p w:rsidR="00A30FF0" w:rsidRPr="00B81D09" w:rsidRDefault="00A30FF0" w:rsidP="000F6ADC">
            <w:pPr>
              <w:spacing w:after="0" w:line="240" w:lineRule="auto"/>
              <w:jc w:val="center"/>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Valor observado de la variable 2 en 2017</w:t>
            </w:r>
          </w:p>
        </w:tc>
      </w:tr>
      <w:tr w:rsidR="00A30FF0" w:rsidRPr="00B81D09" w:rsidTr="000F6ADC">
        <w:trPr>
          <w:trHeight w:val="304"/>
        </w:trPr>
        <w:tc>
          <w:tcPr>
            <w:tcW w:w="3831" w:type="dxa"/>
            <w:gridSpan w:val="3"/>
            <w:tcBorders>
              <w:top w:val="single" w:sz="12" w:space="0" w:color="808080"/>
              <w:left w:val="single" w:sz="12" w:space="0" w:color="808080"/>
              <w:bottom w:val="single" w:sz="12" w:space="0" w:color="808080"/>
              <w:right w:val="single" w:sz="12" w:space="0" w:color="808080"/>
            </w:tcBorders>
            <w:shd w:val="clear" w:color="000000" w:fill="F2F2F2"/>
            <w:vAlign w:val="center"/>
            <w:hideMark/>
          </w:tcPr>
          <w:p w:rsidR="00A30FF0" w:rsidRPr="00B81D09" w:rsidRDefault="00A30FF0" w:rsidP="005220A8">
            <w:pPr>
              <w:spacing w:after="0" w:line="240" w:lineRule="auto"/>
              <w:jc w:val="center"/>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Número de Empresas de Intermediación Financiera al cierre del ejercicio  2013</w:t>
            </w:r>
            <w:r w:rsidR="00A17DD7">
              <w:rPr>
                <w:rFonts w:ascii="Soberana Sans" w:eastAsia="Times New Roman" w:hAnsi="Soberana Sans" w:cs="Calibri"/>
                <w:color w:val="000000"/>
                <w:szCs w:val="17"/>
                <w:lang w:eastAsia="es-MX"/>
              </w:rPr>
              <w:t>.</w:t>
            </w:r>
          </w:p>
        </w:tc>
        <w:tc>
          <w:tcPr>
            <w:tcW w:w="5549" w:type="dxa"/>
            <w:gridSpan w:val="4"/>
            <w:tcBorders>
              <w:top w:val="single" w:sz="12" w:space="0" w:color="808080"/>
              <w:left w:val="nil"/>
              <w:bottom w:val="single" w:sz="12" w:space="0" w:color="808080"/>
              <w:right w:val="single" w:sz="12" w:space="0" w:color="808080"/>
            </w:tcBorders>
            <w:shd w:val="clear" w:color="000000" w:fill="F2F2F2"/>
            <w:vAlign w:val="center"/>
            <w:hideMark/>
          </w:tcPr>
          <w:p w:rsidR="00A30FF0" w:rsidRPr="00B81D09" w:rsidRDefault="00A30FF0" w:rsidP="000F6ADC">
            <w:pPr>
              <w:spacing w:after="0" w:line="240" w:lineRule="auto"/>
              <w:jc w:val="center"/>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405</w:t>
            </w:r>
          </w:p>
        </w:tc>
      </w:tr>
    </w:tbl>
    <w:p w:rsidR="00A30FF0" w:rsidRPr="008E570F" w:rsidRDefault="00A30FF0" w:rsidP="00A30FF0">
      <w:pPr>
        <w:spacing w:after="0" w:line="240" w:lineRule="auto"/>
        <w:rPr>
          <w:lang w:val="es-ES_tradnl"/>
        </w:rPr>
      </w:pPr>
      <w:r w:rsidRPr="008E570F">
        <w:rPr>
          <w:lang w:val="es-ES_tradnl"/>
        </w:rPr>
        <w:t>­ NA: No aplica, en tanto que, derivado del año de la línea base y la frecuencia de medición del indicador, no corresponde reportar valor observado del indicador para este año.</w:t>
      </w:r>
    </w:p>
    <w:p w:rsidR="00A30FF0" w:rsidRDefault="00A30FF0" w:rsidP="00A30FF0">
      <w:pPr>
        <w:pStyle w:val="TITULO1APARTADO"/>
        <w:rPr>
          <w:lang w:val="es-ES_tradnl"/>
        </w:rPr>
      </w:pPr>
    </w:p>
    <w:p w:rsidR="00A30FF0" w:rsidRDefault="00A30FF0" w:rsidP="00A30FF0">
      <w:pPr>
        <w:pStyle w:val="TITULO1APARTADO"/>
        <w:rPr>
          <w:lang w:val="es-ES_tradnl"/>
        </w:rPr>
      </w:pPr>
    </w:p>
    <w:p w:rsidR="00A30FF0" w:rsidRDefault="00A30FF0" w:rsidP="00A30FF0">
      <w:pPr>
        <w:pStyle w:val="TITULO1APARTADO"/>
        <w:rPr>
          <w:lang w:val="es-ES_tradnl"/>
        </w:rPr>
      </w:pPr>
    </w:p>
    <w:p w:rsidR="00A30FF0" w:rsidRDefault="00A30FF0" w:rsidP="00A30FF0">
      <w:pPr>
        <w:pStyle w:val="TITULO1APARTADO"/>
        <w:rPr>
          <w:lang w:val="es-ES_tradnl"/>
        </w:rPr>
      </w:pPr>
    </w:p>
    <w:p w:rsidR="00A30FF0" w:rsidRDefault="00A30FF0" w:rsidP="00A30FF0">
      <w:pPr>
        <w:pStyle w:val="TITULO1APARTADO"/>
        <w:rPr>
          <w:lang w:val="es-ES_tradnl"/>
        </w:rPr>
      </w:pPr>
    </w:p>
    <w:p w:rsidR="00A30FF0" w:rsidRDefault="00A30FF0" w:rsidP="00A30FF0">
      <w:pPr>
        <w:pStyle w:val="TITULO1APARTADO"/>
        <w:rPr>
          <w:lang w:val="es-ES_tradnl"/>
        </w:rPr>
      </w:pPr>
    </w:p>
    <w:p w:rsidR="0011525B" w:rsidRDefault="0011525B" w:rsidP="0011525B">
      <w:pPr>
        <w:rPr>
          <w:lang w:val="es-ES_tradnl"/>
        </w:rPr>
      </w:pPr>
    </w:p>
    <w:p w:rsidR="0011525B" w:rsidRDefault="0011525B" w:rsidP="0011525B">
      <w:pPr>
        <w:rPr>
          <w:lang w:val="es-ES_tradnl"/>
        </w:rPr>
      </w:pPr>
    </w:p>
    <w:p w:rsidR="0011525B" w:rsidRDefault="0011525B" w:rsidP="0011525B">
      <w:pPr>
        <w:rPr>
          <w:lang w:val="es-ES_tradnl"/>
        </w:rPr>
      </w:pPr>
    </w:p>
    <w:p w:rsidR="0011525B" w:rsidRDefault="0011525B" w:rsidP="0011525B">
      <w:pPr>
        <w:rPr>
          <w:lang w:val="es-ES_tradnl"/>
        </w:rPr>
      </w:pPr>
    </w:p>
    <w:p w:rsidR="0011525B" w:rsidRPr="0011525B" w:rsidRDefault="0011525B" w:rsidP="0011525B">
      <w:pPr>
        <w:rPr>
          <w:lang w:val="es-ES_tradnl"/>
        </w:rPr>
      </w:pPr>
    </w:p>
    <w:tbl>
      <w:tblPr>
        <w:tblW w:w="9371" w:type="dxa"/>
        <w:tblCellMar>
          <w:left w:w="70" w:type="dxa"/>
          <w:right w:w="70" w:type="dxa"/>
        </w:tblCellMar>
        <w:tblLook w:val="04A0" w:firstRow="1" w:lastRow="0" w:firstColumn="1" w:lastColumn="0" w:noHBand="0" w:noVBand="1"/>
      </w:tblPr>
      <w:tblGrid>
        <w:gridCol w:w="848"/>
        <w:gridCol w:w="1490"/>
        <w:gridCol w:w="1489"/>
        <w:gridCol w:w="1489"/>
        <w:gridCol w:w="1489"/>
        <w:gridCol w:w="1490"/>
        <w:gridCol w:w="1076"/>
      </w:tblGrid>
      <w:tr w:rsidR="00A30FF0" w:rsidRPr="00B81D09" w:rsidTr="000F6ADC">
        <w:trPr>
          <w:trHeight w:val="197"/>
        </w:trPr>
        <w:tc>
          <w:tcPr>
            <w:tcW w:w="2338" w:type="dxa"/>
            <w:gridSpan w:val="2"/>
            <w:tcBorders>
              <w:top w:val="single" w:sz="12" w:space="0" w:color="808080"/>
              <w:left w:val="single" w:sz="12" w:space="0" w:color="808080"/>
              <w:bottom w:val="nil"/>
              <w:right w:val="single" w:sz="12" w:space="0" w:color="808080"/>
            </w:tcBorders>
            <w:shd w:val="clear" w:color="000000" w:fill="D9D9D9"/>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lastRenderedPageBreak/>
              <w:t> </w:t>
            </w:r>
          </w:p>
        </w:tc>
        <w:tc>
          <w:tcPr>
            <w:tcW w:w="7033" w:type="dxa"/>
            <w:gridSpan w:val="5"/>
            <w:vMerge w:val="restart"/>
            <w:tcBorders>
              <w:top w:val="single" w:sz="12" w:space="0" w:color="808080"/>
              <w:left w:val="single" w:sz="12" w:space="0" w:color="808080"/>
              <w:bottom w:val="single" w:sz="12" w:space="0" w:color="808080"/>
              <w:right w:val="single" w:sz="12" w:space="0" w:color="808080"/>
            </w:tcBorders>
            <w:shd w:val="clear" w:color="000000" w:fill="F2F2F2"/>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Incrementar la cobertura de servicios de la Institución.</w:t>
            </w:r>
          </w:p>
        </w:tc>
      </w:tr>
      <w:tr w:rsidR="00A30FF0" w:rsidRPr="00B81D09" w:rsidTr="000F6ADC">
        <w:trPr>
          <w:trHeight w:val="188"/>
        </w:trPr>
        <w:tc>
          <w:tcPr>
            <w:tcW w:w="2338" w:type="dxa"/>
            <w:gridSpan w:val="2"/>
            <w:tcBorders>
              <w:top w:val="nil"/>
              <w:left w:val="single" w:sz="12" w:space="0" w:color="808080"/>
              <w:bottom w:val="nil"/>
              <w:right w:val="single" w:sz="12" w:space="0" w:color="808080"/>
            </w:tcBorders>
            <w:shd w:val="clear" w:color="000000" w:fill="D9D9D9"/>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 xml:space="preserve">Objetivo 5. </w:t>
            </w:r>
          </w:p>
        </w:tc>
        <w:tc>
          <w:tcPr>
            <w:tcW w:w="7033" w:type="dxa"/>
            <w:gridSpan w:val="5"/>
            <w:vMerge/>
            <w:tcBorders>
              <w:top w:val="single" w:sz="12" w:space="0" w:color="808080"/>
              <w:left w:val="single" w:sz="12" w:space="0" w:color="808080"/>
              <w:bottom w:val="single" w:sz="12" w:space="0" w:color="808080"/>
              <w:right w:val="single" w:sz="12" w:space="0" w:color="808080"/>
            </w:tcBorders>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p>
        </w:tc>
      </w:tr>
      <w:tr w:rsidR="00A30FF0" w:rsidRPr="00B81D09" w:rsidTr="000F6ADC">
        <w:trPr>
          <w:trHeight w:val="197"/>
        </w:trPr>
        <w:tc>
          <w:tcPr>
            <w:tcW w:w="2338" w:type="dxa"/>
            <w:gridSpan w:val="2"/>
            <w:tcBorders>
              <w:top w:val="nil"/>
              <w:left w:val="single" w:sz="12" w:space="0" w:color="808080"/>
              <w:bottom w:val="single" w:sz="12" w:space="0" w:color="808080"/>
              <w:right w:val="single" w:sz="12" w:space="0" w:color="808080"/>
            </w:tcBorders>
            <w:shd w:val="clear" w:color="000000" w:fill="D9D9D9"/>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 </w:t>
            </w:r>
          </w:p>
        </w:tc>
        <w:tc>
          <w:tcPr>
            <w:tcW w:w="7033" w:type="dxa"/>
            <w:gridSpan w:val="5"/>
            <w:vMerge/>
            <w:tcBorders>
              <w:top w:val="single" w:sz="12" w:space="0" w:color="808080"/>
              <w:left w:val="single" w:sz="12" w:space="0" w:color="808080"/>
              <w:bottom w:val="single" w:sz="12" w:space="0" w:color="808080"/>
              <w:right w:val="single" w:sz="12" w:space="0" w:color="808080"/>
            </w:tcBorders>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p>
        </w:tc>
      </w:tr>
      <w:tr w:rsidR="00A30FF0" w:rsidRPr="00B81D09" w:rsidTr="000F6ADC">
        <w:trPr>
          <w:trHeight w:val="197"/>
        </w:trPr>
        <w:tc>
          <w:tcPr>
            <w:tcW w:w="2338" w:type="dxa"/>
            <w:gridSpan w:val="2"/>
            <w:tcBorders>
              <w:top w:val="single" w:sz="12" w:space="0" w:color="808080"/>
              <w:left w:val="single" w:sz="12" w:space="0" w:color="808080"/>
              <w:bottom w:val="nil"/>
              <w:right w:val="single" w:sz="12" w:space="0" w:color="808080"/>
            </w:tcBorders>
            <w:shd w:val="clear" w:color="000000" w:fill="D9D9D9"/>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 </w:t>
            </w:r>
          </w:p>
        </w:tc>
        <w:tc>
          <w:tcPr>
            <w:tcW w:w="7033" w:type="dxa"/>
            <w:gridSpan w:val="5"/>
            <w:vMerge w:val="restart"/>
            <w:tcBorders>
              <w:top w:val="single" w:sz="12" w:space="0" w:color="808080"/>
              <w:left w:val="single" w:sz="12" w:space="0" w:color="808080"/>
              <w:bottom w:val="single" w:sz="12" w:space="0" w:color="808080"/>
              <w:right w:val="single" w:sz="12" w:space="0" w:color="808080"/>
            </w:tcBorders>
            <w:shd w:val="clear" w:color="000000" w:fill="F2F2F2"/>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Porcentaje de atención en municipios a través de créditos de la Financiera Nacional.</w:t>
            </w:r>
          </w:p>
        </w:tc>
      </w:tr>
      <w:tr w:rsidR="00A30FF0" w:rsidRPr="00B81D09" w:rsidTr="000F6ADC">
        <w:trPr>
          <w:trHeight w:val="188"/>
        </w:trPr>
        <w:tc>
          <w:tcPr>
            <w:tcW w:w="2338" w:type="dxa"/>
            <w:gridSpan w:val="2"/>
            <w:tcBorders>
              <w:top w:val="nil"/>
              <w:left w:val="single" w:sz="12" w:space="0" w:color="808080"/>
              <w:bottom w:val="nil"/>
              <w:right w:val="single" w:sz="12" w:space="0" w:color="808080"/>
            </w:tcBorders>
            <w:shd w:val="clear" w:color="000000" w:fill="D9D9D9"/>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Nombre del indicador</w:t>
            </w:r>
          </w:p>
        </w:tc>
        <w:tc>
          <w:tcPr>
            <w:tcW w:w="7033" w:type="dxa"/>
            <w:gridSpan w:val="5"/>
            <w:vMerge/>
            <w:tcBorders>
              <w:top w:val="single" w:sz="12" w:space="0" w:color="808080"/>
              <w:left w:val="single" w:sz="12" w:space="0" w:color="808080"/>
              <w:bottom w:val="single" w:sz="12" w:space="0" w:color="808080"/>
              <w:right w:val="single" w:sz="12" w:space="0" w:color="808080"/>
            </w:tcBorders>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p>
        </w:tc>
      </w:tr>
      <w:tr w:rsidR="00A30FF0" w:rsidRPr="00B81D09" w:rsidTr="000F6ADC">
        <w:trPr>
          <w:trHeight w:val="197"/>
        </w:trPr>
        <w:tc>
          <w:tcPr>
            <w:tcW w:w="2338" w:type="dxa"/>
            <w:gridSpan w:val="2"/>
            <w:tcBorders>
              <w:top w:val="nil"/>
              <w:left w:val="single" w:sz="12" w:space="0" w:color="808080"/>
              <w:bottom w:val="single" w:sz="12" w:space="0" w:color="808080"/>
              <w:right w:val="single" w:sz="12" w:space="0" w:color="808080"/>
            </w:tcBorders>
            <w:shd w:val="clear" w:color="000000" w:fill="D9D9D9"/>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 </w:t>
            </w:r>
          </w:p>
        </w:tc>
        <w:tc>
          <w:tcPr>
            <w:tcW w:w="7033" w:type="dxa"/>
            <w:gridSpan w:val="5"/>
            <w:vMerge/>
            <w:tcBorders>
              <w:top w:val="single" w:sz="12" w:space="0" w:color="808080"/>
              <w:left w:val="single" w:sz="12" w:space="0" w:color="808080"/>
              <w:bottom w:val="single" w:sz="12" w:space="0" w:color="808080"/>
              <w:right w:val="single" w:sz="12" w:space="0" w:color="808080"/>
            </w:tcBorders>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p>
        </w:tc>
      </w:tr>
      <w:tr w:rsidR="00A30FF0" w:rsidRPr="00B81D09" w:rsidTr="000F6ADC">
        <w:trPr>
          <w:trHeight w:val="197"/>
        </w:trPr>
        <w:tc>
          <w:tcPr>
            <w:tcW w:w="2338" w:type="dxa"/>
            <w:gridSpan w:val="2"/>
            <w:tcBorders>
              <w:top w:val="single" w:sz="12" w:space="0" w:color="808080"/>
              <w:left w:val="single" w:sz="12" w:space="0" w:color="808080"/>
              <w:bottom w:val="nil"/>
              <w:right w:val="single" w:sz="12" w:space="0" w:color="808080"/>
            </w:tcBorders>
            <w:shd w:val="clear" w:color="000000" w:fill="D9D9D9"/>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 </w:t>
            </w:r>
          </w:p>
        </w:tc>
        <w:tc>
          <w:tcPr>
            <w:tcW w:w="7033" w:type="dxa"/>
            <w:gridSpan w:val="5"/>
            <w:vMerge w:val="restart"/>
            <w:tcBorders>
              <w:top w:val="single" w:sz="12" w:space="0" w:color="808080"/>
              <w:left w:val="single" w:sz="12" w:space="0" w:color="808080"/>
              <w:bottom w:val="single" w:sz="12" w:space="0" w:color="808080"/>
              <w:right w:val="single" w:sz="12" w:space="0" w:color="808080"/>
            </w:tcBorders>
            <w:shd w:val="clear" w:color="000000" w:fill="F2F2F2"/>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Informe de Autoevaluación</w:t>
            </w:r>
            <w:r w:rsidR="00A17DD7">
              <w:rPr>
                <w:rFonts w:ascii="Soberana Sans" w:eastAsia="Times New Roman" w:hAnsi="Soberana Sans" w:cs="Calibri"/>
                <w:color w:val="000000"/>
                <w:szCs w:val="17"/>
                <w:lang w:eastAsia="es-MX"/>
              </w:rPr>
              <w:t>.</w:t>
            </w:r>
            <w:r w:rsidRPr="00B81D09">
              <w:rPr>
                <w:rFonts w:ascii="Soberana Sans" w:eastAsia="Times New Roman" w:hAnsi="Soberana Sans" w:cs="Calibri"/>
                <w:color w:val="000000"/>
                <w:szCs w:val="17"/>
                <w:lang w:eastAsia="es-MX"/>
              </w:rPr>
              <w:t xml:space="preserve">  </w:t>
            </w:r>
          </w:p>
        </w:tc>
      </w:tr>
      <w:tr w:rsidR="00A30FF0" w:rsidRPr="00B81D09" w:rsidTr="000F6ADC">
        <w:trPr>
          <w:trHeight w:val="282"/>
        </w:trPr>
        <w:tc>
          <w:tcPr>
            <w:tcW w:w="2338" w:type="dxa"/>
            <w:gridSpan w:val="2"/>
            <w:tcBorders>
              <w:top w:val="nil"/>
              <w:left w:val="single" w:sz="12" w:space="0" w:color="808080"/>
              <w:bottom w:val="nil"/>
              <w:right w:val="single" w:sz="12" w:space="0" w:color="808080"/>
            </w:tcBorders>
            <w:shd w:val="clear" w:color="000000" w:fill="D9D9D9"/>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Fuente de información o medio de verificación</w:t>
            </w:r>
          </w:p>
        </w:tc>
        <w:tc>
          <w:tcPr>
            <w:tcW w:w="7033" w:type="dxa"/>
            <w:gridSpan w:val="5"/>
            <w:vMerge/>
            <w:tcBorders>
              <w:top w:val="single" w:sz="12" w:space="0" w:color="808080"/>
              <w:left w:val="single" w:sz="12" w:space="0" w:color="808080"/>
              <w:bottom w:val="single" w:sz="12" w:space="0" w:color="808080"/>
              <w:right w:val="single" w:sz="12" w:space="0" w:color="808080"/>
            </w:tcBorders>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p>
        </w:tc>
      </w:tr>
      <w:tr w:rsidR="00A30FF0" w:rsidRPr="00B81D09" w:rsidTr="000F6ADC">
        <w:trPr>
          <w:trHeight w:val="197"/>
        </w:trPr>
        <w:tc>
          <w:tcPr>
            <w:tcW w:w="2338" w:type="dxa"/>
            <w:gridSpan w:val="2"/>
            <w:tcBorders>
              <w:top w:val="nil"/>
              <w:left w:val="single" w:sz="12" w:space="0" w:color="808080"/>
              <w:bottom w:val="single" w:sz="12" w:space="0" w:color="808080"/>
              <w:right w:val="single" w:sz="12" w:space="0" w:color="808080"/>
            </w:tcBorders>
            <w:shd w:val="clear" w:color="000000" w:fill="D9D9D9"/>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 </w:t>
            </w:r>
          </w:p>
        </w:tc>
        <w:tc>
          <w:tcPr>
            <w:tcW w:w="7033" w:type="dxa"/>
            <w:gridSpan w:val="5"/>
            <w:vMerge/>
            <w:tcBorders>
              <w:top w:val="single" w:sz="12" w:space="0" w:color="808080"/>
              <w:left w:val="single" w:sz="12" w:space="0" w:color="808080"/>
              <w:bottom w:val="single" w:sz="12" w:space="0" w:color="808080"/>
              <w:right w:val="single" w:sz="12" w:space="0" w:color="808080"/>
            </w:tcBorders>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p>
        </w:tc>
      </w:tr>
      <w:tr w:rsidR="00A30FF0" w:rsidRPr="00B81D09" w:rsidTr="000F6ADC">
        <w:trPr>
          <w:trHeight w:val="423"/>
        </w:trPr>
        <w:tc>
          <w:tcPr>
            <w:tcW w:w="2338" w:type="dxa"/>
            <w:gridSpan w:val="2"/>
            <w:tcBorders>
              <w:top w:val="single" w:sz="12" w:space="0" w:color="808080"/>
              <w:left w:val="single" w:sz="12" w:space="0" w:color="808080"/>
              <w:bottom w:val="single" w:sz="12" w:space="0" w:color="808080"/>
              <w:right w:val="single" w:sz="12" w:space="0" w:color="808080"/>
            </w:tcBorders>
            <w:shd w:val="clear" w:color="000000" w:fill="D9D9D9"/>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Dirección electrónica donde puede verificarse el valor del indicador</w:t>
            </w:r>
          </w:p>
        </w:tc>
        <w:tc>
          <w:tcPr>
            <w:tcW w:w="7033" w:type="dxa"/>
            <w:gridSpan w:val="5"/>
            <w:tcBorders>
              <w:top w:val="single" w:sz="12" w:space="0" w:color="808080"/>
              <w:left w:val="nil"/>
              <w:bottom w:val="single" w:sz="12" w:space="0" w:color="808080"/>
              <w:right w:val="single" w:sz="12" w:space="0" w:color="808080"/>
            </w:tcBorders>
            <w:shd w:val="clear" w:color="000000" w:fill="F2F2F2"/>
            <w:vAlign w:val="center"/>
            <w:hideMark/>
          </w:tcPr>
          <w:p w:rsidR="00A30FF0" w:rsidRPr="00B81D09" w:rsidRDefault="00D45EA0" w:rsidP="000F6ADC">
            <w:pPr>
              <w:spacing w:after="0" w:line="240" w:lineRule="auto"/>
              <w:rPr>
                <w:rFonts w:ascii="Calibri" w:eastAsia="Times New Roman" w:hAnsi="Calibri" w:cs="Calibri"/>
                <w:color w:val="0563C1"/>
                <w:sz w:val="22"/>
                <w:u w:val="single"/>
                <w:lang w:eastAsia="es-MX"/>
              </w:rPr>
            </w:pPr>
            <w:hyperlink r:id="rId25" w:history="1">
              <w:r w:rsidR="00A30FF0" w:rsidRPr="00B81D09">
                <w:rPr>
                  <w:rFonts w:ascii="Soberana Sans" w:eastAsia="Times New Roman" w:hAnsi="Soberana Sans" w:cs="Calibri"/>
                  <w:color w:val="000000"/>
                  <w:szCs w:val="17"/>
                  <w:lang w:eastAsia="es-MX"/>
                </w:rPr>
                <w:t>www.gob.mx/fnd</w:t>
              </w:r>
            </w:hyperlink>
          </w:p>
        </w:tc>
      </w:tr>
      <w:tr w:rsidR="00A30FF0" w:rsidRPr="00B81D09" w:rsidTr="000F6ADC">
        <w:trPr>
          <w:trHeight w:val="357"/>
        </w:trPr>
        <w:tc>
          <w:tcPr>
            <w:tcW w:w="848" w:type="dxa"/>
            <w:tcBorders>
              <w:top w:val="nil"/>
              <w:left w:val="single" w:sz="12" w:space="0" w:color="808080"/>
              <w:bottom w:val="single" w:sz="12" w:space="0" w:color="808080"/>
              <w:right w:val="single" w:sz="12" w:space="0" w:color="808080"/>
            </w:tcBorders>
            <w:shd w:val="clear" w:color="000000" w:fill="D9D9D9"/>
            <w:vAlign w:val="center"/>
            <w:hideMark/>
          </w:tcPr>
          <w:p w:rsidR="00A30FF0" w:rsidRPr="00B81D09" w:rsidRDefault="00A30FF0" w:rsidP="000F6ADC">
            <w:pPr>
              <w:spacing w:after="0" w:line="240" w:lineRule="auto"/>
              <w:jc w:val="center"/>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 xml:space="preserve">Línea base </w:t>
            </w:r>
          </w:p>
        </w:tc>
        <w:tc>
          <w:tcPr>
            <w:tcW w:w="1490" w:type="dxa"/>
            <w:vMerge w:val="restart"/>
            <w:tcBorders>
              <w:top w:val="nil"/>
              <w:left w:val="single" w:sz="12" w:space="0" w:color="808080"/>
              <w:bottom w:val="single" w:sz="12" w:space="0" w:color="808080"/>
              <w:right w:val="single" w:sz="12" w:space="0" w:color="808080"/>
            </w:tcBorders>
            <w:shd w:val="clear" w:color="000000" w:fill="D9D9D9"/>
            <w:vAlign w:val="center"/>
            <w:hideMark/>
          </w:tcPr>
          <w:p w:rsidR="00A30FF0" w:rsidRPr="00B81D09" w:rsidRDefault="00A30FF0" w:rsidP="000F6ADC">
            <w:pPr>
              <w:spacing w:after="0" w:line="240" w:lineRule="auto"/>
              <w:jc w:val="center"/>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Valor observado del indicador en 2013</w:t>
            </w:r>
          </w:p>
        </w:tc>
        <w:tc>
          <w:tcPr>
            <w:tcW w:w="1489" w:type="dxa"/>
            <w:vMerge w:val="restart"/>
            <w:tcBorders>
              <w:top w:val="nil"/>
              <w:left w:val="single" w:sz="12" w:space="0" w:color="808080"/>
              <w:bottom w:val="single" w:sz="12" w:space="0" w:color="808080"/>
              <w:right w:val="single" w:sz="12" w:space="0" w:color="808080"/>
            </w:tcBorders>
            <w:shd w:val="clear" w:color="000000" w:fill="D9D9D9"/>
            <w:vAlign w:val="center"/>
            <w:hideMark/>
          </w:tcPr>
          <w:p w:rsidR="00A30FF0" w:rsidRPr="00B81D09" w:rsidRDefault="00A30FF0" w:rsidP="000F6ADC">
            <w:pPr>
              <w:spacing w:after="0" w:line="240" w:lineRule="auto"/>
              <w:jc w:val="center"/>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Valor observado del indicador en 2014</w:t>
            </w:r>
          </w:p>
        </w:tc>
        <w:tc>
          <w:tcPr>
            <w:tcW w:w="1489" w:type="dxa"/>
            <w:vMerge w:val="restart"/>
            <w:tcBorders>
              <w:top w:val="nil"/>
              <w:left w:val="single" w:sz="12" w:space="0" w:color="808080"/>
              <w:bottom w:val="single" w:sz="12" w:space="0" w:color="808080"/>
              <w:right w:val="single" w:sz="12" w:space="0" w:color="808080"/>
            </w:tcBorders>
            <w:shd w:val="clear" w:color="000000" w:fill="D9D9D9"/>
            <w:vAlign w:val="center"/>
            <w:hideMark/>
          </w:tcPr>
          <w:p w:rsidR="00A30FF0" w:rsidRPr="00B81D09" w:rsidRDefault="00A30FF0" w:rsidP="000F6ADC">
            <w:pPr>
              <w:spacing w:after="0" w:line="240" w:lineRule="auto"/>
              <w:jc w:val="center"/>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Valor observado del indicador en 2015</w:t>
            </w:r>
          </w:p>
        </w:tc>
        <w:tc>
          <w:tcPr>
            <w:tcW w:w="1489" w:type="dxa"/>
            <w:vMerge w:val="restart"/>
            <w:tcBorders>
              <w:top w:val="nil"/>
              <w:left w:val="single" w:sz="12" w:space="0" w:color="808080"/>
              <w:bottom w:val="single" w:sz="12" w:space="0" w:color="808080"/>
              <w:right w:val="single" w:sz="12" w:space="0" w:color="808080"/>
            </w:tcBorders>
            <w:shd w:val="clear" w:color="000000" w:fill="D9D9D9"/>
            <w:vAlign w:val="center"/>
            <w:hideMark/>
          </w:tcPr>
          <w:p w:rsidR="00A30FF0" w:rsidRPr="00B81D09" w:rsidRDefault="00A30FF0" w:rsidP="000F6ADC">
            <w:pPr>
              <w:spacing w:after="0" w:line="240" w:lineRule="auto"/>
              <w:jc w:val="center"/>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Valor observado del indicador en 2016</w:t>
            </w:r>
          </w:p>
        </w:tc>
        <w:tc>
          <w:tcPr>
            <w:tcW w:w="1490" w:type="dxa"/>
            <w:vMerge w:val="restart"/>
            <w:tcBorders>
              <w:top w:val="nil"/>
              <w:left w:val="single" w:sz="12" w:space="0" w:color="808080"/>
              <w:bottom w:val="single" w:sz="12" w:space="0" w:color="808080"/>
              <w:right w:val="single" w:sz="12" w:space="0" w:color="808080"/>
            </w:tcBorders>
            <w:shd w:val="clear" w:color="000000" w:fill="D9D9D9"/>
            <w:vAlign w:val="center"/>
            <w:hideMark/>
          </w:tcPr>
          <w:p w:rsidR="00A30FF0" w:rsidRPr="00B81D09" w:rsidRDefault="00A30FF0" w:rsidP="000F6ADC">
            <w:pPr>
              <w:spacing w:after="0" w:line="240" w:lineRule="auto"/>
              <w:jc w:val="center"/>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Valor observado del indicador en 2017</w:t>
            </w:r>
          </w:p>
        </w:tc>
        <w:tc>
          <w:tcPr>
            <w:tcW w:w="1076" w:type="dxa"/>
            <w:vMerge w:val="restart"/>
            <w:tcBorders>
              <w:top w:val="nil"/>
              <w:left w:val="single" w:sz="12" w:space="0" w:color="808080"/>
              <w:bottom w:val="single" w:sz="12" w:space="0" w:color="808080"/>
              <w:right w:val="single" w:sz="12" w:space="0" w:color="808080"/>
            </w:tcBorders>
            <w:shd w:val="clear" w:color="000000" w:fill="D9D9D9"/>
            <w:vAlign w:val="center"/>
            <w:hideMark/>
          </w:tcPr>
          <w:p w:rsidR="00A30FF0" w:rsidRPr="00B81D09" w:rsidRDefault="00A30FF0" w:rsidP="000F6ADC">
            <w:pPr>
              <w:spacing w:after="0" w:line="240" w:lineRule="auto"/>
              <w:jc w:val="center"/>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Meta 2018</w:t>
            </w:r>
          </w:p>
        </w:tc>
      </w:tr>
      <w:tr w:rsidR="00A30FF0" w:rsidRPr="00B81D09" w:rsidTr="000F6ADC">
        <w:trPr>
          <w:trHeight w:val="207"/>
        </w:trPr>
        <w:tc>
          <w:tcPr>
            <w:tcW w:w="848" w:type="dxa"/>
            <w:tcBorders>
              <w:top w:val="nil"/>
              <w:left w:val="single" w:sz="12" w:space="0" w:color="808080"/>
              <w:bottom w:val="single" w:sz="12" w:space="0" w:color="808080"/>
              <w:right w:val="single" w:sz="12" w:space="0" w:color="808080"/>
            </w:tcBorders>
            <w:shd w:val="clear" w:color="000000" w:fill="F2F2F2"/>
            <w:vAlign w:val="center"/>
            <w:hideMark/>
          </w:tcPr>
          <w:p w:rsidR="00A30FF0" w:rsidRPr="00B81D09" w:rsidRDefault="00A30FF0" w:rsidP="000F6ADC">
            <w:pPr>
              <w:spacing w:after="0" w:line="240" w:lineRule="auto"/>
              <w:jc w:val="center"/>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2013</w:t>
            </w:r>
          </w:p>
        </w:tc>
        <w:tc>
          <w:tcPr>
            <w:tcW w:w="1490" w:type="dxa"/>
            <w:vMerge/>
            <w:tcBorders>
              <w:top w:val="nil"/>
              <w:left w:val="single" w:sz="12" w:space="0" w:color="808080"/>
              <w:bottom w:val="single" w:sz="12" w:space="0" w:color="808080"/>
              <w:right w:val="single" w:sz="12" w:space="0" w:color="808080"/>
            </w:tcBorders>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p>
        </w:tc>
        <w:tc>
          <w:tcPr>
            <w:tcW w:w="1489" w:type="dxa"/>
            <w:vMerge/>
            <w:tcBorders>
              <w:top w:val="nil"/>
              <w:left w:val="single" w:sz="12" w:space="0" w:color="808080"/>
              <w:bottom w:val="single" w:sz="12" w:space="0" w:color="808080"/>
              <w:right w:val="single" w:sz="12" w:space="0" w:color="808080"/>
            </w:tcBorders>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p>
        </w:tc>
        <w:tc>
          <w:tcPr>
            <w:tcW w:w="1489" w:type="dxa"/>
            <w:vMerge/>
            <w:tcBorders>
              <w:top w:val="nil"/>
              <w:left w:val="single" w:sz="12" w:space="0" w:color="808080"/>
              <w:bottom w:val="single" w:sz="12" w:space="0" w:color="808080"/>
              <w:right w:val="single" w:sz="12" w:space="0" w:color="808080"/>
            </w:tcBorders>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p>
        </w:tc>
        <w:tc>
          <w:tcPr>
            <w:tcW w:w="1489" w:type="dxa"/>
            <w:vMerge/>
            <w:tcBorders>
              <w:top w:val="nil"/>
              <w:left w:val="single" w:sz="12" w:space="0" w:color="808080"/>
              <w:bottom w:val="single" w:sz="12" w:space="0" w:color="808080"/>
              <w:right w:val="single" w:sz="12" w:space="0" w:color="808080"/>
            </w:tcBorders>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p>
        </w:tc>
        <w:tc>
          <w:tcPr>
            <w:tcW w:w="1490" w:type="dxa"/>
            <w:vMerge/>
            <w:tcBorders>
              <w:top w:val="nil"/>
              <w:left w:val="single" w:sz="12" w:space="0" w:color="808080"/>
              <w:bottom w:val="single" w:sz="12" w:space="0" w:color="808080"/>
              <w:right w:val="single" w:sz="12" w:space="0" w:color="808080"/>
            </w:tcBorders>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p>
        </w:tc>
        <w:tc>
          <w:tcPr>
            <w:tcW w:w="1076" w:type="dxa"/>
            <w:vMerge/>
            <w:tcBorders>
              <w:top w:val="nil"/>
              <w:left w:val="single" w:sz="12" w:space="0" w:color="808080"/>
              <w:bottom w:val="single" w:sz="12" w:space="0" w:color="808080"/>
              <w:right w:val="single" w:sz="12" w:space="0" w:color="808080"/>
            </w:tcBorders>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p>
        </w:tc>
      </w:tr>
      <w:tr w:rsidR="00A30FF0" w:rsidRPr="00B81D09" w:rsidTr="000F6ADC">
        <w:trPr>
          <w:trHeight w:val="215"/>
        </w:trPr>
        <w:tc>
          <w:tcPr>
            <w:tcW w:w="848" w:type="dxa"/>
            <w:vMerge w:val="restart"/>
            <w:tcBorders>
              <w:top w:val="nil"/>
              <w:left w:val="single" w:sz="12" w:space="0" w:color="808080"/>
              <w:bottom w:val="single" w:sz="12" w:space="0" w:color="808080"/>
              <w:right w:val="single" w:sz="12" w:space="0" w:color="808080"/>
            </w:tcBorders>
            <w:shd w:val="clear" w:color="000000" w:fill="F2F2F2"/>
            <w:vAlign w:val="center"/>
            <w:hideMark/>
          </w:tcPr>
          <w:p w:rsidR="00A30FF0" w:rsidRPr="00B81D09" w:rsidRDefault="00A30FF0" w:rsidP="000F6ADC">
            <w:pPr>
              <w:spacing w:after="0" w:line="240" w:lineRule="auto"/>
              <w:jc w:val="center"/>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77.9</w:t>
            </w:r>
          </w:p>
        </w:tc>
        <w:tc>
          <w:tcPr>
            <w:tcW w:w="1490" w:type="dxa"/>
            <w:vMerge w:val="restart"/>
            <w:tcBorders>
              <w:top w:val="nil"/>
              <w:left w:val="single" w:sz="12" w:space="0" w:color="808080"/>
              <w:bottom w:val="single" w:sz="12" w:space="0" w:color="808080"/>
              <w:right w:val="single" w:sz="12" w:space="0" w:color="808080"/>
            </w:tcBorders>
            <w:shd w:val="clear" w:color="000000" w:fill="F2F2F2"/>
            <w:vAlign w:val="center"/>
            <w:hideMark/>
          </w:tcPr>
          <w:p w:rsidR="00A30FF0" w:rsidRPr="00B81D09" w:rsidRDefault="00A30FF0" w:rsidP="000F6ADC">
            <w:pPr>
              <w:spacing w:after="0" w:line="240" w:lineRule="auto"/>
              <w:jc w:val="center"/>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N/A</w:t>
            </w:r>
          </w:p>
        </w:tc>
        <w:tc>
          <w:tcPr>
            <w:tcW w:w="1489" w:type="dxa"/>
            <w:vMerge w:val="restart"/>
            <w:tcBorders>
              <w:top w:val="nil"/>
              <w:left w:val="single" w:sz="12" w:space="0" w:color="808080"/>
              <w:bottom w:val="single" w:sz="12" w:space="0" w:color="808080"/>
              <w:right w:val="single" w:sz="12" w:space="0" w:color="808080"/>
            </w:tcBorders>
            <w:shd w:val="clear" w:color="000000" w:fill="F2F2F2"/>
            <w:vAlign w:val="center"/>
            <w:hideMark/>
          </w:tcPr>
          <w:p w:rsidR="00A30FF0" w:rsidRPr="00B81D09" w:rsidRDefault="00A30FF0" w:rsidP="000F6ADC">
            <w:pPr>
              <w:spacing w:after="0" w:line="240" w:lineRule="auto"/>
              <w:jc w:val="center"/>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79.2</w:t>
            </w:r>
          </w:p>
        </w:tc>
        <w:tc>
          <w:tcPr>
            <w:tcW w:w="1489" w:type="dxa"/>
            <w:vMerge w:val="restart"/>
            <w:tcBorders>
              <w:top w:val="nil"/>
              <w:left w:val="single" w:sz="12" w:space="0" w:color="808080"/>
              <w:bottom w:val="single" w:sz="12" w:space="0" w:color="808080"/>
              <w:right w:val="single" w:sz="12" w:space="0" w:color="808080"/>
            </w:tcBorders>
            <w:shd w:val="clear" w:color="000000" w:fill="F2F2F2"/>
            <w:vAlign w:val="center"/>
            <w:hideMark/>
          </w:tcPr>
          <w:p w:rsidR="00A30FF0" w:rsidRPr="00B81D09" w:rsidRDefault="00A30FF0" w:rsidP="000F6ADC">
            <w:pPr>
              <w:spacing w:after="0" w:line="240" w:lineRule="auto"/>
              <w:jc w:val="center"/>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81.7</w:t>
            </w:r>
          </w:p>
        </w:tc>
        <w:tc>
          <w:tcPr>
            <w:tcW w:w="1489" w:type="dxa"/>
            <w:vMerge w:val="restart"/>
            <w:tcBorders>
              <w:top w:val="nil"/>
              <w:left w:val="single" w:sz="12" w:space="0" w:color="808080"/>
              <w:bottom w:val="single" w:sz="12" w:space="0" w:color="808080"/>
              <w:right w:val="single" w:sz="12" w:space="0" w:color="808080"/>
            </w:tcBorders>
            <w:shd w:val="clear" w:color="000000" w:fill="F2F2F2"/>
            <w:vAlign w:val="center"/>
            <w:hideMark/>
          </w:tcPr>
          <w:p w:rsidR="00A30FF0" w:rsidRPr="00B81D09" w:rsidRDefault="00A30FF0" w:rsidP="000F6ADC">
            <w:pPr>
              <w:spacing w:after="0" w:line="240" w:lineRule="auto"/>
              <w:jc w:val="center"/>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93.7</w:t>
            </w:r>
          </w:p>
        </w:tc>
        <w:tc>
          <w:tcPr>
            <w:tcW w:w="1490" w:type="dxa"/>
            <w:vMerge w:val="restart"/>
            <w:tcBorders>
              <w:top w:val="nil"/>
              <w:left w:val="single" w:sz="12" w:space="0" w:color="808080"/>
              <w:bottom w:val="single" w:sz="12" w:space="0" w:color="808080"/>
              <w:right w:val="single" w:sz="12" w:space="0" w:color="808080"/>
            </w:tcBorders>
            <w:shd w:val="clear" w:color="000000" w:fill="F2F2F2"/>
            <w:vAlign w:val="center"/>
            <w:hideMark/>
          </w:tcPr>
          <w:p w:rsidR="00A30FF0" w:rsidRPr="00B81D09" w:rsidRDefault="00A30FF0" w:rsidP="000F6ADC">
            <w:pPr>
              <w:spacing w:after="0" w:line="240" w:lineRule="auto"/>
              <w:jc w:val="center"/>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 xml:space="preserve">94.4 </w:t>
            </w:r>
          </w:p>
        </w:tc>
        <w:tc>
          <w:tcPr>
            <w:tcW w:w="1076" w:type="dxa"/>
            <w:vMerge w:val="restart"/>
            <w:tcBorders>
              <w:top w:val="nil"/>
              <w:left w:val="single" w:sz="12" w:space="0" w:color="808080"/>
              <w:bottom w:val="single" w:sz="12" w:space="0" w:color="808080"/>
              <w:right w:val="single" w:sz="12" w:space="0" w:color="808080"/>
            </w:tcBorders>
            <w:shd w:val="clear" w:color="000000" w:fill="F2F2F2"/>
            <w:vAlign w:val="center"/>
            <w:hideMark/>
          </w:tcPr>
          <w:p w:rsidR="00A30FF0" w:rsidRPr="00B81D09" w:rsidRDefault="00A30FF0" w:rsidP="000F6ADC">
            <w:pPr>
              <w:spacing w:after="0" w:line="240" w:lineRule="auto"/>
              <w:jc w:val="center"/>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88</w:t>
            </w:r>
          </w:p>
        </w:tc>
      </w:tr>
      <w:tr w:rsidR="00A30FF0" w:rsidRPr="00B81D09" w:rsidTr="000F6ADC">
        <w:trPr>
          <w:trHeight w:val="315"/>
        </w:trPr>
        <w:tc>
          <w:tcPr>
            <w:tcW w:w="848" w:type="dxa"/>
            <w:vMerge/>
            <w:tcBorders>
              <w:top w:val="nil"/>
              <w:left w:val="single" w:sz="12" w:space="0" w:color="808080"/>
              <w:bottom w:val="single" w:sz="12" w:space="0" w:color="808080"/>
              <w:right w:val="single" w:sz="12" w:space="0" w:color="808080"/>
            </w:tcBorders>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p>
        </w:tc>
        <w:tc>
          <w:tcPr>
            <w:tcW w:w="1490" w:type="dxa"/>
            <w:vMerge/>
            <w:tcBorders>
              <w:top w:val="nil"/>
              <w:left w:val="single" w:sz="12" w:space="0" w:color="808080"/>
              <w:bottom w:val="single" w:sz="12" w:space="0" w:color="808080"/>
              <w:right w:val="single" w:sz="12" w:space="0" w:color="808080"/>
            </w:tcBorders>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p>
        </w:tc>
        <w:tc>
          <w:tcPr>
            <w:tcW w:w="1489" w:type="dxa"/>
            <w:vMerge/>
            <w:tcBorders>
              <w:top w:val="nil"/>
              <w:left w:val="single" w:sz="12" w:space="0" w:color="808080"/>
              <w:bottom w:val="single" w:sz="12" w:space="0" w:color="808080"/>
              <w:right w:val="single" w:sz="12" w:space="0" w:color="808080"/>
            </w:tcBorders>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p>
        </w:tc>
        <w:tc>
          <w:tcPr>
            <w:tcW w:w="1489" w:type="dxa"/>
            <w:vMerge/>
            <w:tcBorders>
              <w:top w:val="nil"/>
              <w:left w:val="single" w:sz="12" w:space="0" w:color="808080"/>
              <w:bottom w:val="single" w:sz="12" w:space="0" w:color="808080"/>
              <w:right w:val="single" w:sz="12" w:space="0" w:color="808080"/>
            </w:tcBorders>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p>
        </w:tc>
        <w:tc>
          <w:tcPr>
            <w:tcW w:w="1489" w:type="dxa"/>
            <w:vMerge/>
            <w:tcBorders>
              <w:top w:val="nil"/>
              <w:left w:val="single" w:sz="12" w:space="0" w:color="808080"/>
              <w:bottom w:val="single" w:sz="12" w:space="0" w:color="808080"/>
              <w:right w:val="single" w:sz="12" w:space="0" w:color="808080"/>
            </w:tcBorders>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p>
        </w:tc>
        <w:tc>
          <w:tcPr>
            <w:tcW w:w="1490" w:type="dxa"/>
            <w:vMerge/>
            <w:tcBorders>
              <w:top w:val="nil"/>
              <w:left w:val="single" w:sz="12" w:space="0" w:color="808080"/>
              <w:bottom w:val="single" w:sz="12" w:space="0" w:color="808080"/>
              <w:right w:val="single" w:sz="12" w:space="0" w:color="808080"/>
            </w:tcBorders>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p>
        </w:tc>
        <w:tc>
          <w:tcPr>
            <w:tcW w:w="1076" w:type="dxa"/>
            <w:vMerge/>
            <w:tcBorders>
              <w:top w:val="nil"/>
              <w:left w:val="single" w:sz="12" w:space="0" w:color="808080"/>
              <w:bottom w:val="single" w:sz="12" w:space="0" w:color="808080"/>
              <w:right w:val="single" w:sz="12" w:space="0" w:color="808080"/>
            </w:tcBorders>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p>
        </w:tc>
      </w:tr>
      <w:tr w:rsidR="00A30FF0" w:rsidRPr="00B81D09" w:rsidTr="000F6ADC">
        <w:trPr>
          <w:trHeight w:val="301"/>
        </w:trPr>
        <w:tc>
          <w:tcPr>
            <w:tcW w:w="3827" w:type="dxa"/>
            <w:gridSpan w:val="3"/>
            <w:tcBorders>
              <w:top w:val="single" w:sz="12" w:space="0" w:color="808080"/>
              <w:left w:val="single" w:sz="12" w:space="0" w:color="808080"/>
              <w:bottom w:val="single" w:sz="12" w:space="0" w:color="808080"/>
              <w:right w:val="single" w:sz="12" w:space="0" w:color="808080"/>
            </w:tcBorders>
            <w:shd w:val="clear" w:color="000000" w:fill="D9D9D9"/>
            <w:vAlign w:val="center"/>
            <w:hideMark/>
          </w:tcPr>
          <w:p w:rsidR="00A30FF0" w:rsidRPr="00B81D09" w:rsidRDefault="00A30FF0" w:rsidP="000F6ADC">
            <w:pPr>
              <w:spacing w:after="0" w:line="240" w:lineRule="auto"/>
              <w:jc w:val="center"/>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Método de cálculo</w:t>
            </w:r>
          </w:p>
        </w:tc>
        <w:tc>
          <w:tcPr>
            <w:tcW w:w="4468" w:type="dxa"/>
            <w:gridSpan w:val="3"/>
            <w:tcBorders>
              <w:top w:val="single" w:sz="12" w:space="0" w:color="808080"/>
              <w:left w:val="nil"/>
              <w:bottom w:val="single" w:sz="12" w:space="0" w:color="808080"/>
              <w:right w:val="single" w:sz="12" w:space="0" w:color="808080"/>
            </w:tcBorders>
            <w:shd w:val="clear" w:color="000000" w:fill="D9D9D9"/>
            <w:vAlign w:val="center"/>
            <w:hideMark/>
          </w:tcPr>
          <w:p w:rsidR="00A30FF0" w:rsidRPr="00B81D09" w:rsidRDefault="00A30FF0" w:rsidP="000F6ADC">
            <w:pPr>
              <w:spacing w:after="0" w:line="240" w:lineRule="auto"/>
              <w:jc w:val="center"/>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Unidad de Medida</w:t>
            </w:r>
          </w:p>
        </w:tc>
        <w:tc>
          <w:tcPr>
            <w:tcW w:w="1076" w:type="dxa"/>
            <w:tcBorders>
              <w:top w:val="nil"/>
              <w:left w:val="nil"/>
              <w:bottom w:val="single" w:sz="12" w:space="0" w:color="808080"/>
              <w:right w:val="single" w:sz="12" w:space="0" w:color="808080"/>
            </w:tcBorders>
            <w:shd w:val="clear" w:color="000000" w:fill="D9D9D9"/>
            <w:vAlign w:val="center"/>
            <w:hideMark/>
          </w:tcPr>
          <w:p w:rsidR="00A30FF0" w:rsidRPr="00B81D09" w:rsidRDefault="00A30FF0" w:rsidP="000F6ADC">
            <w:pPr>
              <w:spacing w:after="0" w:line="240" w:lineRule="auto"/>
              <w:jc w:val="center"/>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Frecuencia de medición</w:t>
            </w:r>
          </w:p>
        </w:tc>
      </w:tr>
      <w:tr w:rsidR="00A30FF0" w:rsidRPr="00B81D09" w:rsidTr="000F6ADC">
        <w:trPr>
          <w:trHeight w:val="744"/>
        </w:trPr>
        <w:tc>
          <w:tcPr>
            <w:tcW w:w="3827" w:type="dxa"/>
            <w:gridSpan w:val="3"/>
            <w:tcBorders>
              <w:top w:val="single" w:sz="12" w:space="0" w:color="808080"/>
              <w:left w:val="single" w:sz="12" w:space="0" w:color="808080"/>
              <w:bottom w:val="single" w:sz="12" w:space="0" w:color="808080"/>
              <w:right w:val="single" w:sz="12" w:space="0" w:color="808080"/>
            </w:tcBorders>
            <w:shd w:val="clear" w:color="000000" w:fill="F2F2F2"/>
            <w:vAlign w:val="center"/>
            <w:hideMark/>
          </w:tcPr>
          <w:p w:rsidR="00A30FF0" w:rsidRPr="00B81D09" w:rsidRDefault="00A30FF0" w:rsidP="000F6ADC">
            <w:pPr>
              <w:spacing w:after="0" w:line="240" w:lineRule="auto"/>
              <w:jc w:val="center"/>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Número de municipios atendidos históricamente con financiamiento al cierre del ejercicio correspondiente entre el número  de municipios a nivel nacional.</w:t>
            </w:r>
          </w:p>
        </w:tc>
        <w:tc>
          <w:tcPr>
            <w:tcW w:w="4468" w:type="dxa"/>
            <w:gridSpan w:val="3"/>
            <w:tcBorders>
              <w:top w:val="single" w:sz="12" w:space="0" w:color="808080"/>
              <w:left w:val="nil"/>
              <w:bottom w:val="single" w:sz="12" w:space="0" w:color="808080"/>
              <w:right w:val="single" w:sz="12" w:space="0" w:color="808080"/>
            </w:tcBorders>
            <w:shd w:val="clear" w:color="000000" w:fill="F2F2F2"/>
            <w:vAlign w:val="center"/>
            <w:hideMark/>
          </w:tcPr>
          <w:p w:rsidR="00A30FF0" w:rsidRPr="00B81D09" w:rsidRDefault="00A30FF0" w:rsidP="000F6ADC">
            <w:pPr>
              <w:spacing w:after="0" w:line="240" w:lineRule="auto"/>
              <w:jc w:val="center"/>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porcentaje</w:t>
            </w:r>
          </w:p>
        </w:tc>
        <w:tc>
          <w:tcPr>
            <w:tcW w:w="1076" w:type="dxa"/>
            <w:tcBorders>
              <w:top w:val="nil"/>
              <w:left w:val="nil"/>
              <w:bottom w:val="single" w:sz="12" w:space="0" w:color="808080"/>
              <w:right w:val="single" w:sz="12" w:space="0" w:color="808080"/>
            </w:tcBorders>
            <w:shd w:val="clear" w:color="000000" w:fill="F2F2F2"/>
            <w:vAlign w:val="center"/>
            <w:hideMark/>
          </w:tcPr>
          <w:p w:rsidR="00A30FF0" w:rsidRPr="00B81D09" w:rsidRDefault="00A30FF0" w:rsidP="000F6ADC">
            <w:pPr>
              <w:spacing w:after="0" w:line="240" w:lineRule="auto"/>
              <w:jc w:val="center"/>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Anual</w:t>
            </w:r>
          </w:p>
        </w:tc>
      </w:tr>
      <w:tr w:rsidR="00A30FF0" w:rsidRPr="00B81D09" w:rsidTr="000F6ADC">
        <w:trPr>
          <w:trHeight w:val="207"/>
        </w:trPr>
        <w:tc>
          <w:tcPr>
            <w:tcW w:w="3827" w:type="dxa"/>
            <w:gridSpan w:val="3"/>
            <w:tcBorders>
              <w:top w:val="single" w:sz="12" w:space="0" w:color="808080"/>
              <w:left w:val="single" w:sz="12" w:space="0" w:color="808080"/>
              <w:bottom w:val="single" w:sz="12" w:space="0" w:color="808080"/>
              <w:right w:val="single" w:sz="12" w:space="0" w:color="808080"/>
            </w:tcBorders>
            <w:shd w:val="clear" w:color="000000" w:fill="D9D9D9"/>
            <w:vAlign w:val="center"/>
            <w:hideMark/>
          </w:tcPr>
          <w:p w:rsidR="00A30FF0" w:rsidRPr="00B81D09" w:rsidRDefault="00A30FF0" w:rsidP="000F6ADC">
            <w:pPr>
              <w:spacing w:after="0" w:line="240" w:lineRule="auto"/>
              <w:jc w:val="center"/>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Nombre de la variable 1</w:t>
            </w:r>
          </w:p>
        </w:tc>
        <w:tc>
          <w:tcPr>
            <w:tcW w:w="5544" w:type="dxa"/>
            <w:gridSpan w:val="4"/>
            <w:tcBorders>
              <w:top w:val="single" w:sz="12" w:space="0" w:color="808080"/>
              <w:left w:val="nil"/>
              <w:bottom w:val="single" w:sz="12" w:space="0" w:color="808080"/>
              <w:right w:val="single" w:sz="12" w:space="0" w:color="808080"/>
            </w:tcBorders>
            <w:shd w:val="clear" w:color="000000" w:fill="D9D9D9"/>
            <w:vAlign w:val="center"/>
            <w:hideMark/>
          </w:tcPr>
          <w:p w:rsidR="00A30FF0" w:rsidRPr="00B81D09" w:rsidRDefault="00A30FF0" w:rsidP="000F6ADC">
            <w:pPr>
              <w:spacing w:after="0" w:line="240" w:lineRule="auto"/>
              <w:jc w:val="center"/>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Valor observado de la variable 1 en 2017</w:t>
            </w:r>
          </w:p>
        </w:tc>
      </w:tr>
      <w:tr w:rsidR="00A30FF0" w:rsidRPr="00B81D09" w:rsidTr="000F6ADC">
        <w:trPr>
          <w:trHeight w:val="367"/>
        </w:trPr>
        <w:tc>
          <w:tcPr>
            <w:tcW w:w="3827" w:type="dxa"/>
            <w:gridSpan w:val="3"/>
            <w:tcBorders>
              <w:top w:val="single" w:sz="12" w:space="0" w:color="808080"/>
              <w:left w:val="single" w:sz="12" w:space="0" w:color="808080"/>
              <w:bottom w:val="single" w:sz="12" w:space="0" w:color="808080"/>
              <w:right w:val="single" w:sz="12" w:space="0" w:color="808080"/>
            </w:tcBorders>
            <w:shd w:val="clear" w:color="000000" w:fill="F2F2F2"/>
            <w:vAlign w:val="center"/>
            <w:hideMark/>
          </w:tcPr>
          <w:p w:rsidR="00A30FF0" w:rsidRPr="00B81D09" w:rsidRDefault="00A30FF0" w:rsidP="005220A8">
            <w:pPr>
              <w:spacing w:after="0" w:line="240" w:lineRule="auto"/>
              <w:jc w:val="center"/>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Número de Municipios atendidos históricamente con financi</w:t>
            </w:r>
            <w:r w:rsidR="00A17DD7">
              <w:rPr>
                <w:rFonts w:ascii="Soberana Sans" w:eastAsia="Times New Roman" w:hAnsi="Soberana Sans" w:cs="Calibri"/>
                <w:color w:val="000000"/>
                <w:szCs w:val="17"/>
                <w:lang w:eastAsia="es-MX"/>
              </w:rPr>
              <w:t>amiento al cierre del ejercicio.</w:t>
            </w:r>
          </w:p>
        </w:tc>
        <w:tc>
          <w:tcPr>
            <w:tcW w:w="5544" w:type="dxa"/>
            <w:gridSpan w:val="4"/>
            <w:tcBorders>
              <w:top w:val="single" w:sz="12" w:space="0" w:color="808080"/>
              <w:left w:val="nil"/>
              <w:bottom w:val="single" w:sz="12" w:space="0" w:color="808080"/>
              <w:right w:val="single" w:sz="12" w:space="0" w:color="808080"/>
            </w:tcBorders>
            <w:shd w:val="clear" w:color="000000" w:fill="F2F2F2"/>
            <w:vAlign w:val="center"/>
            <w:hideMark/>
          </w:tcPr>
          <w:p w:rsidR="00A30FF0" w:rsidRPr="00B81D09" w:rsidRDefault="00A30FF0" w:rsidP="00567E16">
            <w:pPr>
              <w:spacing w:after="0" w:line="240" w:lineRule="auto"/>
              <w:jc w:val="center"/>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 xml:space="preserve">      2,318 </w:t>
            </w:r>
          </w:p>
        </w:tc>
      </w:tr>
      <w:tr w:rsidR="00A30FF0" w:rsidRPr="00B81D09" w:rsidTr="000F6ADC">
        <w:trPr>
          <w:trHeight w:val="207"/>
        </w:trPr>
        <w:tc>
          <w:tcPr>
            <w:tcW w:w="3827" w:type="dxa"/>
            <w:gridSpan w:val="3"/>
            <w:tcBorders>
              <w:top w:val="single" w:sz="12" w:space="0" w:color="808080"/>
              <w:left w:val="single" w:sz="12" w:space="0" w:color="808080"/>
              <w:bottom w:val="single" w:sz="12" w:space="0" w:color="808080"/>
              <w:right w:val="single" w:sz="12" w:space="0" w:color="808080"/>
            </w:tcBorders>
            <w:shd w:val="clear" w:color="000000" w:fill="D9D9D9"/>
            <w:vAlign w:val="center"/>
            <w:hideMark/>
          </w:tcPr>
          <w:p w:rsidR="00A30FF0" w:rsidRPr="00B81D09" w:rsidRDefault="00A30FF0" w:rsidP="000F6ADC">
            <w:pPr>
              <w:spacing w:after="0" w:line="240" w:lineRule="auto"/>
              <w:jc w:val="center"/>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Nombre de la variable 2</w:t>
            </w:r>
          </w:p>
        </w:tc>
        <w:tc>
          <w:tcPr>
            <w:tcW w:w="5544" w:type="dxa"/>
            <w:gridSpan w:val="4"/>
            <w:tcBorders>
              <w:top w:val="single" w:sz="12" w:space="0" w:color="808080"/>
              <w:left w:val="nil"/>
              <w:bottom w:val="single" w:sz="12" w:space="0" w:color="808080"/>
              <w:right w:val="single" w:sz="12" w:space="0" w:color="808080"/>
            </w:tcBorders>
            <w:shd w:val="clear" w:color="000000" w:fill="D9D9D9"/>
            <w:vAlign w:val="center"/>
            <w:hideMark/>
          </w:tcPr>
          <w:p w:rsidR="00A30FF0" w:rsidRPr="00B81D09" w:rsidRDefault="00A30FF0" w:rsidP="000F6ADC">
            <w:pPr>
              <w:spacing w:after="0" w:line="240" w:lineRule="auto"/>
              <w:jc w:val="center"/>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Valor observado de la variable 2 en 2017</w:t>
            </w:r>
          </w:p>
        </w:tc>
      </w:tr>
      <w:tr w:rsidR="00A30FF0" w:rsidRPr="00B81D09" w:rsidTr="000F6ADC">
        <w:trPr>
          <w:trHeight w:val="339"/>
        </w:trPr>
        <w:tc>
          <w:tcPr>
            <w:tcW w:w="3827" w:type="dxa"/>
            <w:gridSpan w:val="3"/>
            <w:tcBorders>
              <w:top w:val="single" w:sz="12" w:space="0" w:color="808080"/>
              <w:left w:val="single" w:sz="12" w:space="0" w:color="808080"/>
              <w:bottom w:val="single" w:sz="12" w:space="0" w:color="808080"/>
              <w:right w:val="single" w:sz="12" w:space="0" w:color="808080"/>
            </w:tcBorders>
            <w:shd w:val="clear" w:color="000000" w:fill="F2F2F2"/>
            <w:vAlign w:val="center"/>
            <w:hideMark/>
          </w:tcPr>
          <w:p w:rsidR="00A30FF0" w:rsidRPr="00B81D09" w:rsidRDefault="00A30FF0" w:rsidP="005220A8">
            <w:pPr>
              <w:spacing w:after="0" w:line="240" w:lineRule="auto"/>
              <w:jc w:val="center"/>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Total de Municipios</w:t>
            </w:r>
          </w:p>
        </w:tc>
        <w:tc>
          <w:tcPr>
            <w:tcW w:w="5544" w:type="dxa"/>
            <w:gridSpan w:val="4"/>
            <w:tcBorders>
              <w:top w:val="single" w:sz="12" w:space="0" w:color="808080"/>
              <w:left w:val="nil"/>
              <w:bottom w:val="single" w:sz="12" w:space="0" w:color="808080"/>
              <w:right w:val="single" w:sz="12" w:space="0" w:color="808080"/>
            </w:tcBorders>
            <w:shd w:val="clear" w:color="000000" w:fill="F2F2F2"/>
            <w:vAlign w:val="center"/>
            <w:hideMark/>
          </w:tcPr>
          <w:p w:rsidR="00A30FF0" w:rsidRPr="00B81D09" w:rsidRDefault="00A30FF0" w:rsidP="00567E16">
            <w:pPr>
              <w:spacing w:after="0" w:line="240" w:lineRule="auto"/>
              <w:jc w:val="center"/>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 xml:space="preserve">       2,456 </w:t>
            </w:r>
          </w:p>
        </w:tc>
      </w:tr>
    </w:tbl>
    <w:p w:rsidR="00A30FF0" w:rsidRPr="008E570F" w:rsidRDefault="00A30FF0" w:rsidP="00A30FF0">
      <w:pPr>
        <w:spacing w:after="0" w:line="240" w:lineRule="auto"/>
        <w:rPr>
          <w:lang w:val="es-ES_tradnl"/>
        </w:rPr>
      </w:pPr>
      <w:r w:rsidRPr="008E570F">
        <w:rPr>
          <w:lang w:val="es-ES_tradnl"/>
        </w:rPr>
        <w:t>­ NA: No aplica, en tanto que, derivado del año de la línea base y la frecuencia de medición del indicador, no corresponde reportar valor observado del indicador para este año.</w:t>
      </w:r>
    </w:p>
    <w:p w:rsidR="00A30FF0" w:rsidRDefault="00A30FF0" w:rsidP="00A30FF0">
      <w:pPr>
        <w:pStyle w:val="TITULO1APARTADO"/>
        <w:rPr>
          <w:lang w:val="es-ES_tradnl"/>
        </w:rPr>
      </w:pPr>
    </w:p>
    <w:p w:rsidR="00A30FF0" w:rsidRDefault="00A30FF0" w:rsidP="00A30FF0">
      <w:pPr>
        <w:pStyle w:val="TITULO1APARTADO"/>
        <w:rPr>
          <w:lang w:val="es-ES_tradnl"/>
        </w:rPr>
      </w:pPr>
    </w:p>
    <w:p w:rsidR="00A30FF0" w:rsidRDefault="00A30FF0" w:rsidP="00A30FF0">
      <w:pPr>
        <w:pStyle w:val="TITULO1APARTADO"/>
        <w:rPr>
          <w:lang w:val="es-ES_tradnl"/>
        </w:rPr>
      </w:pPr>
    </w:p>
    <w:p w:rsidR="0011525B" w:rsidRPr="0011525B" w:rsidRDefault="0011525B" w:rsidP="0011525B">
      <w:pPr>
        <w:rPr>
          <w:lang w:val="es-ES_tradnl"/>
        </w:rPr>
      </w:pPr>
    </w:p>
    <w:p w:rsidR="003C4DD2" w:rsidRDefault="003C4DD2">
      <w:pPr>
        <w:spacing w:after="0" w:line="240" w:lineRule="auto"/>
        <w:jc w:val="left"/>
        <w:rPr>
          <w:rFonts w:ascii="Soberana Sans" w:hAnsi="Soberana Sans" w:cs="ACaslonPro-Regular"/>
          <w:b/>
          <w:caps/>
          <w:sz w:val="38"/>
          <w:szCs w:val="38"/>
          <w:lang w:val="es-ES_tradnl"/>
        </w:rPr>
      </w:pPr>
      <w:r>
        <w:rPr>
          <w:lang w:val="es-ES_tradnl"/>
        </w:rPr>
        <w:br w:type="page"/>
      </w:r>
    </w:p>
    <w:tbl>
      <w:tblPr>
        <w:tblW w:w="9331" w:type="dxa"/>
        <w:tblCellMar>
          <w:left w:w="70" w:type="dxa"/>
          <w:right w:w="70" w:type="dxa"/>
        </w:tblCellMar>
        <w:tblLook w:val="04A0" w:firstRow="1" w:lastRow="0" w:firstColumn="1" w:lastColumn="0" w:noHBand="0" w:noVBand="1"/>
      </w:tblPr>
      <w:tblGrid>
        <w:gridCol w:w="844"/>
        <w:gridCol w:w="1484"/>
        <w:gridCol w:w="1483"/>
        <w:gridCol w:w="1483"/>
        <w:gridCol w:w="1483"/>
        <w:gridCol w:w="1483"/>
        <w:gridCol w:w="1071"/>
      </w:tblGrid>
      <w:tr w:rsidR="00A30FF0" w:rsidRPr="00B81D09" w:rsidTr="000F6ADC">
        <w:trPr>
          <w:trHeight w:val="215"/>
        </w:trPr>
        <w:tc>
          <w:tcPr>
            <w:tcW w:w="2328" w:type="dxa"/>
            <w:gridSpan w:val="2"/>
            <w:tcBorders>
              <w:top w:val="single" w:sz="12" w:space="0" w:color="808080"/>
              <w:left w:val="single" w:sz="12" w:space="0" w:color="808080"/>
              <w:bottom w:val="nil"/>
              <w:right w:val="single" w:sz="12" w:space="0" w:color="808080"/>
            </w:tcBorders>
            <w:shd w:val="clear" w:color="000000" w:fill="D9D9D9"/>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lastRenderedPageBreak/>
              <w:t> </w:t>
            </w:r>
          </w:p>
        </w:tc>
        <w:tc>
          <w:tcPr>
            <w:tcW w:w="7003" w:type="dxa"/>
            <w:gridSpan w:val="5"/>
            <w:vMerge w:val="restart"/>
            <w:tcBorders>
              <w:top w:val="single" w:sz="12" w:space="0" w:color="808080"/>
              <w:left w:val="single" w:sz="12" w:space="0" w:color="808080"/>
              <w:bottom w:val="single" w:sz="12" w:space="0" w:color="808080"/>
              <w:right w:val="single" w:sz="12" w:space="0" w:color="808080"/>
            </w:tcBorders>
            <w:shd w:val="clear" w:color="000000" w:fill="F2F2F2"/>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Mantener la sustentabilidad de la Institución.</w:t>
            </w:r>
          </w:p>
        </w:tc>
      </w:tr>
      <w:tr w:rsidR="00A30FF0" w:rsidRPr="00B81D09" w:rsidTr="000F6ADC">
        <w:trPr>
          <w:trHeight w:val="205"/>
        </w:trPr>
        <w:tc>
          <w:tcPr>
            <w:tcW w:w="2328" w:type="dxa"/>
            <w:gridSpan w:val="2"/>
            <w:tcBorders>
              <w:top w:val="nil"/>
              <w:left w:val="single" w:sz="12" w:space="0" w:color="808080"/>
              <w:bottom w:val="nil"/>
              <w:right w:val="single" w:sz="12" w:space="0" w:color="808080"/>
            </w:tcBorders>
            <w:shd w:val="clear" w:color="000000" w:fill="D9D9D9"/>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 xml:space="preserve">Objetivo 6. </w:t>
            </w:r>
          </w:p>
        </w:tc>
        <w:tc>
          <w:tcPr>
            <w:tcW w:w="7003" w:type="dxa"/>
            <w:gridSpan w:val="5"/>
            <w:vMerge/>
            <w:tcBorders>
              <w:top w:val="single" w:sz="12" w:space="0" w:color="808080"/>
              <w:left w:val="single" w:sz="12" w:space="0" w:color="808080"/>
              <w:bottom w:val="single" w:sz="12" w:space="0" w:color="808080"/>
              <w:right w:val="single" w:sz="12" w:space="0" w:color="808080"/>
            </w:tcBorders>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p>
        </w:tc>
      </w:tr>
      <w:tr w:rsidR="00A30FF0" w:rsidRPr="00B81D09" w:rsidTr="000F6ADC">
        <w:trPr>
          <w:trHeight w:val="215"/>
        </w:trPr>
        <w:tc>
          <w:tcPr>
            <w:tcW w:w="2328" w:type="dxa"/>
            <w:gridSpan w:val="2"/>
            <w:tcBorders>
              <w:top w:val="nil"/>
              <w:left w:val="single" w:sz="12" w:space="0" w:color="808080"/>
              <w:bottom w:val="single" w:sz="12" w:space="0" w:color="808080"/>
              <w:right w:val="single" w:sz="12" w:space="0" w:color="808080"/>
            </w:tcBorders>
            <w:shd w:val="clear" w:color="000000" w:fill="D9D9D9"/>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 </w:t>
            </w:r>
          </w:p>
        </w:tc>
        <w:tc>
          <w:tcPr>
            <w:tcW w:w="7003" w:type="dxa"/>
            <w:gridSpan w:val="5"/>
            <w:vMerge/>
            <w:tcBorders>
              <w:top w:val="single" w:sz="12" w:space="0" w:color="808080"/>
              <w:left w:val="single" w:sz="12" w:space="0" w:color="808080"/>
              <w:bottom w:val="single" w:sz="12" w:space="0" w:color="808080"/>
              <w:right w:val="single" w:sz="12" w:space="0" w:color="808080"/>
            </w:tcBorders>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p>
        </w:tc>
      </w:tr>
      <w:tr w:rsidR="00A30FF0" w:rsidRPr="00B81D09" w:rsidTr="000F6ADC">
        <w:trPr>
          <w:trHeight w:val="215"/>
        </w:trPr>
        <w:tc>
          <w:tcPr>
            <w:tcW w:w="2328" w:type="dxa"/>
            <w:gridSpan w:val="2"/>
            <w:tcBorders>
              <w:top w:val="single" w:sz="12" w:space="0" w:color="808080"/>
              <w:left w:val="single" w:sz="12" w:space="0" w:color="808080"/>
              <w:bottom w:val="nil"/>
              <w:right w:val="single" w:sz="12" w:space="0" w:color="808080"/>
            </w:tcBorders>
            <w:shd w:val="clear" w:color="000000" w:fill="D9D9D9"/>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 </w:t>
            </w:r>
          </w:p>
        </w:tc>
        <w:tc>
          <w:tcPr>
            <w:tcW w:w="7003" w:type="dxa"/>
            <w:gridSpan w:val="5"/>
            <w:vMerge w:val="restart"/>
            <w:tcBorders>
              <w:top w:val="single" w:sz="12" w:space="0" w:color="808080"/>
              <w:left w:val="single" w:sz="12" w:space="0" w:color="808080"/>
              <w:bottom w:val="single" w:sz="12" w:space="0" w:color="808080"/>
              <w:right w:val="single" w:sz="12" w:space="0" w:color="808080"/>
            </w:tcBorders>
            <w:shd w:val="clear" w:color="000000" w:fill="F2F2F2"/>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Mantener el patrimonio de la Institución en términos reales.</w:t>
            </w:r>
          </w:p>
        </w:tc>
      </w:tr>
      <w:tr w:rsidR="00A30FF0" w:rsidRPr="00B81D09" w:rsidTr="000F6ADC">
        <w:trPr>
          <w:trHeight w:val="205"/>
        </w:trPr>
        <w:tc>
          <w:tcPr>
            <w:tcW w:w="2328" w:type="dxa"/>
            <w:gridSpan w:val="2"/>
            <w:tcBorders>
              <w:top w:val="nil"/>
              <w:left w:val="single" w:sz="12" w:space="0" w:color="808080"/>
              <w:bottom w:val="nil"/>
              <w:right w:val="single" w:sz="12" w:space="0" w:color="808080"/>
            </w:tcBorders>
            <w:shd w:val="clear" w:color="000000" w:fill="D9D9D9"/>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Nombre del indicador</w:t>
            </w:r>
          </w:p>
        </w:tc>
        <w:tc>
          <w:tcPr>
            <w:tcW w:w="7003" w:type="dxa"/>
            <w:gridSpan w:val="5"/>
            <w:vMerge/>
            <w:tcBorders>
              <w:top w:val="single" w:sz="12" w:space="0" w:color="808080"/>
              <w:left w:val="single" w:sz="12" w:space="0" w:color="808080"/>
              <w:bottom w:val="single" w:sz="12" w:space="0" w:color="808080"/>
              <w:right w:val="single" w:sz="12" w:space="0" w:color="808080"/>
            </w:tcBorders>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p>
        </w:tc>
      </w:tr>
      <w:tr w:rsidR="00A30FF0" w:rsidRPr="00B81D09" w:rsidTr="000F6ADC">
        <w:trPr>
          <w:trHeight w:val="215"/>
        </w:trPr>
        <w:tc>
          <w:tcPr>
            <w:tcW w:w="2328" w:type="dxa"/>
            <w:gridSpan w:val="2"/>
            <w:tcBorders>
              <w:top w:val="nil"/>
              <w:left w:val="single" w:sz="12" w:space="0" w:color="808080"/>
              <w:bottom w:val="single" w:sz="12" w:space="0" w:color="808080"/>
              <w:right w:val="single" w:sz="12" w:space="0" w:color="808080"/>
            </w:tcBorders>
            <w:shd w:val="clear" w:color="000000" w:fill="D9D9D9"/>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 </w:t>
            </w:r>
          </w:p>
        </w:tc>
        <w:tc>
          <w:tcPr>
            <w:tcW w:w="7003" w:type="dxa"/>
            <w:gridSpan w:val="5"/>
            <w:vMerge/>
            <w:tcBorders>
              <w:top w:val="single" w:sz="12" w:space="0" w:color="808080"/>
              <w:left w:val="single" w:sz="12" w:space="0" w:color="808080"/>
              <w:bottom w:val="single" w:sz="12" w:space="0" w:color="808080"/>
              <w:right w:val="single" w:sz="12" w:space="0" w:color="808080"/>
            </w:tcBorders>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p>
        </w:tc>
      </w:tr>
      <w:tr w:rsidR="00A30FF0" w:rsidRPr="00B81D09" w:rsidTr="000F6ADC">
        <w:trPr>
          <w:trHeight w:val="215"/>
        </w:trPr>
        <w:tc>
          <w:tcPr>
            <w:tcW w:w="2328" w:type="dxa"/>
            <w:gridSpan w:val="2"/>
            <w:tcBorders>
              <w:top w:val="single" w:sz="12" w:space="0" w:color="808080"/>
              <w:left w:val="single" w:sz="12" w:space="0" w:color="808080"/>
              <w:bottom w:val="nil"/>
              <w:right w:val="single" w:sz="12" w:space="0" w:color="808080"/>
            </w:tcBorders>
            <w:shd w:val="clear" w:color="000000" w:fill="D9D9D9"/>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 </w:t>
            </w:r>
          </w:p>
        </w:tc>
        <w:tc>
          <w:tcPr>
            <w:tcW w:w="7003" w:type="dxa"/>
            <w:gridSpan w:val="5"/>
            <w:vMerge w:val="restart"/>
            <w:tcBorders>
              <w:top w:val="single" w:sz="12" w:space="0" w:color="808080"/>
              <w:left w:val="single" w:sz="12" w:space="0" w:color="808080"/>
              <w:bottom w:val="single" w:sz="12" w:space="0" w:color="808080"/>
              <w:right w:val="single" w:sz="12" w:space="0" w:color="808080"/>
            </w:tcBorders>
            <w:shd w:val="clear" w:color="000000" w:fill="F2F2F2"/>
            <w:vAlign w:val="center"/>
            <w:hideMark/>
          </w:tcPr>
          <w:p w:rsidR="00A30FF0" w:rsidRPr="00B81D09" w:rsidRDefault="00A17DD7" w:rsidP="000F6ADC">
            <w:pPr>
              <w:spacing w:after="0" w:line="240" w:lineRule="auto"/>
              <w:rPr>
                <w:rFonts w:ascii="Soberana Sans" w:eastAsia="Times New Roman" w:hAnsi="Soberana Sans" w:cs="Calibri"/>
                <w:color w:val="000000"/>
                <w:szCs w:val="17"/>
                <w:lang w:eastAsia="es-MX"/>
              </w:rPr>
            </w:pPr>
            <w:r>
              <w:rPr>
                <w:rFonts w:ascii="Soberana Sans" w:eastAsia="Times New Roman" w:hAnsi="Soberana Sans" w:cs="Calibri"/>
                <w:color w:val="000000"/>
                <w:szCs w:val="17"/>
                <w:lang w:eastAsia="es-MX"/>
              </w:rPr>
              <w:t>Informe de Autoevaluación.</w:t>
            </w:r>
          </w:p>
        </w:tc>
      </w:tr>
      <w:tr w:rsidR="00A30FF0" w:rsidRPr="00B81D09" w:rsidTr="000F6ADC">
        <w:trPr>
          <w:trHeight w:val="308"/>
        </w:trPr>
        <w:tc>
          <w:tcPr>
            <w:tcW w:w="2328" w:type="dxa"/>
            <w:gridSpan w:val="2"/>
            <w:tcBorders>
              <w:top w:val="nil"/>
              <w:left w:val="single" w:sz="12" w:space="0" w:color="808080"/>
              <w:bottom w:val="nil"/>
              <w:right w:val="single" w:sz="12" w:space="0" w:color="808080"/>
            </w:tcBorders>
            <w:shd w:val="clear" w:color="000000" w:fill="D9D9D9"/>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Fuente de información o medio de verificación</w:t>
            </w:r>
          </w:p>
        </w:tc>
        <w:tc>
          <w:tcPr>
            <w:tcW w:w="7003" w:type="dxa"/>
            <w:gridSpan w:val="5"/>
            <w:vMerge/>
            <w:tcBorders>
              <w:top w:val="single" w:sz="12" w:space="0" w:color="808080"/>
              <w:left w:val="single" w:sz="12" w:space="0" w:color="808080"/>
              <w:bottom w:val="single" w:sz="12" w:space="0" w:color="808080"/>
              <w:right w:val="single" w:sz="12" w:space="0" w:color="808080"/>
            </w:tcBorders>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p>
        </w:tc>
      </w:tr>
      <w:tr w:rsidR="00A30FF0" w:rsidRPr="00B81D09" w:rsidTr="000F6ADC">
        <w:trPr>
          <w:trHeight w:val="215"/>
        </w:trPr>
        <w:tc>
          <w:tcPr>
            <w:tcW w:w="2328" w:type="dxa"/>
            <w:gridSpan w:val="2"/>
            <w:tcBorders>
              <w:top w:val="nil"/>
              <w:left w:val="single" w:sz="12" w:space="0" w:color="808080"/>
              <w:bottom w:val="single" w:sz="12" w:space="0" w:color="808080"/>
              <w:right w:val="single" w:sz="12" w:space="0" w:color="808080"/>
            </w:tcBorders>
            <w:shd w:val="clear" w:color="000000" w:fill="D9D9D9"/>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 </w:t>
            </w:r>
          </w:p>
        </w:tc>
        <w:tc>
          <w:tcPr>
            <w:tcW w:w="7003" w:type="dxa"/>
            <w:gridSpan w:val="5"/>
            <w:vMerge/>
            <w:tcBorders>
              <w:top w:val="single" w:sz="12" w:space="0" w:color="808080"/>
              <w:left w:val="single" w:sz="12" w:space="0" w:color="808080"/>
              <w:bottom w:val="single" w:sz="12" w:space="0" w:color="808080"/>
              <w:right w:val="single" w:sz="12" w:space="0" w:color="808080"/>
            </w:tcBorders>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p>
        </w:tc>
      </w:tr>
      <w:tr w:rsidR="00A30FF0" w:rsidRPr="00B81D09" w:rsidTr="000F6ADC">
        <w:trPr>
          <w:trHeight w:val="462"/>
        </w:trPr>
        <w:tc>
          <w:tcPr>
            <w:tcW w:w="2328" w:type="dxa"/>
            <w:gridSpan w:val="2"/>
            <w:tcBorders>
              <w:top w:val="single" w:sz="12" w:space="0" w:color="808080"/>
              <w:left w:val="single" w:sz="12" w:space="0" w:color="808080"/>
              <w:bottom w:val="single" w:sz="12" w:space="0" w:color="808080"/>
              <w:right w:val="single" w:sz="12" w:space="0" w:color="808080"/>
            </w:tcBorders>
            <w:shd w:val="clear" w:color="000000" w:fill="D9D9D9"/>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Dirección electrónica donde puede verificarse el valor del indicador</w:t>
            </w:r>
          </w:p>
        </w:tc>
        <w:tc>
          <w:tcPr>
            <w:tcW w:w="7003" w:type="dxa"/>
            <w:gridSpan w:val="5"/>
            <w:tcBorders>
              <w:top w:val="single" w:sz="12" w:space="0" w:color="808080"/>
              <w:left w:val="nil"/>
              <w:bottom w:val="single" w:sz="12" w:space="0" w:color="808080"/>
              <w:right w:val="single" w:sz="12" w:space="0" w:color="808080"/>
            </w:tcBorders>
            <w:shd w:val="clear" w:color="000000" w:fill="F2F2F2"/>
            <w:vAlign w:val="center"/>
            <w:hideMark/>
          </w:tcPr>
          <w:p w:rsidR="00A30FF0" w:rsidRPr="00B81D09" w:rsidRDefault="00D45EA0" w:rsidP="000F6ADC">
            <w:pPr>
              <w:spacing w:after="0" w:line="240" w:lineRule="auto"/>
              <w:rPr>
                <w:rFonts w:ascii="Calibri" w:eastAsia="Times New Roman" w:hAnsi="Calibri" w:cs="Calibri"/>
                <w:color w:val="0563C1"/>
                <w:sz w:val="22"/>
                <w:u w:val="single"/>
                <w:lang w:eastAsia="es-MX"/>
              </w:rPr>
            </w:pPr>
            <w:hyperlink r:id="rId26" w:history="1">
              <w:r w:rsidR="00A30FF0" w:rsidRPr="0011203B">
                <w:rPr>
                  <w:rFonts w:ascii="Soberana Sans" w:eastAsia="Times New Roman" w:hAnsi="Soberana Sans" w:cs="Calibri"/>
                  <w:color w:val="000000"/>
                  <w:szCs w:val="17"/>
                  <w:lang w:eastAsia="es-MX"/>
                </w:rPr>
                <w:t>www.gob.mx/fnd</w:t>
              </w:r>
            </w:hyperlink>
          </w:p>
        </w:tc>
      </w:tr>
      <w:tr w:rsidR="00A30FF0" w:rsidRPr="00B81D09" w:rsidTr="000F6ADC">
        <w:trPr>
          <w:trHeight w:val="390"/>
        </w:trPr>
        <w:tc>
          <w:tcPr>
            <w:tcW w:w="844" w:type="dxa"/>
            <w:tcBorders>
              <w:top w:val="nil"/>
              <w:left w:val="single" w:sz="12" w:space="0" w:color="808080"/>
              <w:bottom w:val="single" w:sz="12" w:space="0" w:color="808080"/>
              <w:right w:val="single" w:sz="12" w:space="0" w:color="808080"/>
            </w:tcBorders>
            <w:shd w:val="clear" w:color="000000" w:fill="D9D9D9"/>
            <w:vAlign w:val="center"/>
            <w:hideMark/>
          </w:tcPr>
          <w:p w:rsidR="00A30FF0" w:rsidRPr="00B81D09" w:rsidRDefault="00A30FF0" w:rsidP="000F6ADC">
            <w:pPr>
              <w:spacing w:after="0" w:line="240" w:lineRule="auto"/>
              <w:jc w:val="center"/>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 xml:space="preserve">Línea base </w:t>
            </w:r>
          </w:p>
        </w:tc>
        <w:tc>
          <w:tcPr>
            <w:tcW w:w="1484" w:type="dxa"/>
            <w:vMerge w:val="restart"/>
            <w:tcBorders>
              <w:top w:val="nil"/>
              <w:left w:val="single" w:sz="12" w:space="0" w:color="808080"/>
              <w:bottom w:val="single" w:sz="12" w:space="0" w:color="808080"/>
              <w:right w:val="single" w:sz="12" w:space="0" w:color="808080"/>
            </w:tcBorders>
            <w:shd w:val="clear" w:color="000000" w:fill="D9D9D9"/>
            <w:vAlign w:val="center"/>
            <w:hideMark/>
          </w:tcPr>
          <w:p w:rsidR="00A30FF0" w:rsidRPr="00B81D09" w:rsidRDefault="00A30FF0" w:rsidP="000F6ADC">
            <w:pPr>
              <w:spacing w:after="0" w:line="240" w:lineRule="auto"/>
              <w:jc w:val="center"/>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Valor observado del indicador en 2013</w:t>
            </w:r>
          </w:p>
        </w:tc>
        <w:tc>
          <w:tcPr>
            <w:tcW w:w="1483" w:type="dxa"/>
            <w:vMerge w:val="restart"/>
            <w:tcBorders>
              <w:top w:val="nil"/>
              <w:left w:val="single" w:sz="12" w:space="0" w:color="808080"/>
              <w:bottom w:val="single" w:sz="12" w:space="0" w:color="808080"/>
              <w:right w:val="single" w:sz="12" w:space="0" w:color="808080"/>
            </w:tcBorders>
            <w:shd w:val="clear" w:color="000000" w:fill="D9D9D9"/>
            <w:vAlign w:val="center"/>
            <w:hideMark/>
          </w:tcPr>
          <w:p w:rsidR="00A30FF0" w:rsidRPr="00B81D09" w:rsidRDefault="00A30FF0" w:rsidP="000F6ADC">
            <w:pPr>
              <w:spacing w:after="0" w:line="240" w:lineRule="auto"/>
              <w:jc w:val="center"/>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Valor observado del indicador en 2014</w:t>
            </w:r>
          </w:p>
        </w:tc>
        <w:tc>
          <w:tcPr>
            <w:tcW w:w="1483" w:type="dxa"/>
            <w:vMerge w:val="restart"/>
            <w:tcBorders>
              <w:top w:val="nil"/>
              <w:left w:val="single" w:sz="12" w:space="0" w:color="808080"/>
              <w:bottom w:val="single" w:sz="12" w:space="0" w:color="808080"/>
              <w:right w:val="single" w:sz="12" w:space="0" w:color="808080"/>
            </w:tcBorders>
            <w:shd w:val="clear" w:color="000000" w:fill="D9D9D9"/>
            <w:vAlign w:val="center"/>
            <w:hideMark/>
          </w:tcPr>
          <w:p w:rsidR="00A30FF0" w:rsidRPr="00B81D09" w:rsidRDefault="00A30FF0" w:rsidP="000F6ADC">
            <w:pPr>
              <w:spacing w:after="0" w:line="240" w:lineRule="auto"/>
              <w:jc w:val="center"/>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Valor observado del indicador en 2015</w:t>
            </w:r>
          </w:p>
        </w:tc>
        <w:tc>
          <w:tcPr>
            <w:tcW w:w="1483" w:type="dxa"/>
            <w:vMerge w:val="restart"/>
            <w:tcBorders>
              <w:top w:val="nil"/>
              <w:left w:val="single" w:sz="12" w:space="0" w:color="808080"/>
              <w:bottom w:val="single" w:sz="12" w:space="0" w:color="808080"/>
              <w:right w:val="single" w:sz="12" w:space="0" w:color="808080"/>
            </w:tcBorders>
            <w:shd w:val="clear" w:color="000000" w:fill="D9D9D9"/>
            <w:vAlign w:val="center"/>
            <w:hideMark/>
          </w:tcPr>
          <w:p w:rsidR="00A30FF0" w:rsidRPr="00B81D09" w:rsidRDefault="00A30FF0" w:rsidP="000F6ADC">
            <w:pPr>
              <w:spacing w:after="0" w:line="240" w:lineRule="auto"/>
              <w:jc w:val="center"/>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Valor observado del indicador en 2016</w:t>
            </w:r>
          </w:p>
        </w:tc>
        <w:tc>
          <w:tcPr>
            <w:tcW w:w="1483" w:type="dxa"/>
            <w:vMerge w:val="restart"/>
            <w:tcBorders>
              <w:top w:val="nil"/>
              <w:left w:val="single" w:sz="12" w:space="0" w:color="808080"/>
              <w:bottom w:val="single" w:sz="12" w:space="0" w:color="808080"/>
              <w:right w:val="single" w:sz="12" w:space="0" w:color="808080"/>
            </w:tcBorders>
            <w:shd w:val="clear" w:color="000000" w:fill="D9D9D9"/>
            <w:vAlign w:val="center"/>
            <w:hideMark/>
          </w:tcPr>
          <w:p w:rsidR="00A30FF0" w:rsidRPr="00B81D09" w:rsidRDefault="00A30FF0" w:rsidP="000F6ADC">
            <w:pPr>
              <w:spacing w:after="0" w:line="240" w:lineRule="auto"/>
              <w:jc w:val="center"/>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Valor observado del indicador en 2017</w:t>
            </w:r>
          </w:p>
        </w:tc>
        <w:tc>
          <w:tcPr>
            <w:tcW w:w="1071" w:type="dxa"/>
            <w:vMerge w:val="restart"/>
            <w:tcBorders>
              <w:top w:val="nil"/>
              <w:left w:val="single" w:sz="12" w:space="0" w:color="808080"/>
              <w:bottom w:val="single" w:sz="12" w:space="0" w:color="808080"/>
              <w:right w:val="single" w:sz="12" w:space="0" w:color="808080"/>
            </w:tcBorders>
            <w:shd w:val="clear" w:color="000000" w:fill="D9D9D9"/>
            <w:vAlign w:val="center"/>
            <w:hideMark/>
          </w:tcPr>
          <w:p w:rsidR="00A30FF0" w:rsidRPr="00B81D09" w:rsidRDefault="00A30FF0" w:rsidP="000F6ADC">
            <w:pPr>
              <w:spacing w:after="0" w:line="240" w:lineRule="auto"/>
              <w:jc w:val="center"/>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Meta 2018</w:t>
            </w:r>
          </w:p>
        </w:tc>
      </w:tr>
      <w:tr w:rsidR="00A30FF0" w:rsidRPr="00B81D09" w:rsidTr="000F6ADC">
        <w:trPr>
          <w:trHeight w:val="226"/>
        </w:trPr>
        <w:tc>
          <w:tcPr>
            <w:tcW w:w="844" w:type="dxa"/>
            <w:tcBorders>
              <w:top w:val="nil"/>
              <w:left w:val="single" w:sz="12" w:space="0" w:color="808080"/>
              <w:bottom w:val="single" w:sz="12" w:space="0" w:color="808080"/>
              <w:right w:val="single" w:sz="12" w:space="0" w:color="808080"/>
            </w:tcBorders>
            <w:shd w:val="clear" w:color="000000" w:fill="F2F2F2"/>
            <w:vAlign w:val="center"/>
            <w:hideMark/>
          </w:tcPr>
          <w:p w:rsidR="00A30FF0" w:rsidRPr="00B81D09" w:rsidRDefault="00A30FF0" w:rsidP="000F6ADC">
            <w:pPr>
              <w:spacing w:after="0" w:line="240" w:lineRule="auto"/>
              <w:jc w:val="center"/>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2013</w:t>
            </w:r>
          </w:p>
        </w:tc>
        <w:tc>
          <w:tcPr>
            <w:tcW w:w="1484" w:type="dxa"/>
            <w:vMerge/>
            <w:tcBorders>
              <w:top w:val="nil"/>
              <w:left w:val="single" w:sz="12" w:space="0" w:color="808080"/>
              <w:bottom w:val="single" w:sz="12" w:space="0" w:color="808080"/>
              <w:right w:val="single" w:sz="12" w:space="0" w:color="808080"/>
            </w:tcBorders>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p>
        </w:tc>
        <w:tc>
          <w:tcPr>
            <w:tcW w:w="1483" w:type="dxa"/>
            <w:vMerge/>
            <w:tcBorders>
              <w:top w:val="nil"/>
              <w:left w:val="single" w:sz="12" w:space="0" w:color="808080"/>
              <w:bottom w:val="single" w:sz="12" w:space="0" w:color="808080"/>
              <w:right w:val="single" w:sz="12" w:space="0" w:color="808080"/>
            </w:tcBorders>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p>
        </w:tc>
        <w:tc>
          <w:tcPr>
            <w:tcW w:w="1483" w:type="dxa"/>
            <w:vMerge/>
            <w:tcBorders>
              <w:top w:val="nil"/>
              <w:left w:val="single" w:sz="12" w:space="0" w:color="808080"/>
              <w:bottom w:val="single" w:sz="12" w:space="0" w:color="808080"/>
              <w:right w:val="single" w:sz="12" w:space="0" w:color="808080"/>
            </w:tcBorders>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p>
        </w:tc>
        <w:tc>
          <w:tcPr>
            <w:tcW w:w="1483" w:type="dxa"/>
            <w:vMerge/>
            <w:tcBorders>
              <w:top w:val="nil"/>
              <w:left w:val="single" w:sz="12" w:space="0" w:color="808080"/>
              <w:bottom w:val="single" w:sz="12" w:space="0" w:color="808080"/>
              <w:right w:val="single" w:sz="12" w:space="0" w:color="808080"/>
            </w:tcBorders>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p>
        </w:tc>
        <w:tc>
          <w:tcPr>
            <w:tcW w:w="1483" w:type="dxa"/>
            <w:vMerge/>
            <w:tcBorders>
              <w:top w:val="nil"/>
              <w:left w:val="single" w:sz="12" w:space="0" w:color="808080"/>
              <w:bottom w:val="single" w:sz="12" w:space="0" w:color="808080"/>
              <w:right w:val="single" w:sz="12" w:space="0" w:color="808080"/>
            </w:tcBorders>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p>
        </w:tc>
        <w:tc>
          <w:tcPr>
            <w:tcW w:w="1071" w:type="dxa"/>
            <w:vMerge/>
            <w:tcBorders>
              <w:top w:val="nil"/>
              <w:left w:val="single" w:sz="12" w:space="0" w:color="808080"/>
              <w:bottom w:val="single" w:sz="12" w:space="0" w:color="808080"/>
              <w:right w:val="single" w:sz="12" w:space="0" w:color="808080"/>
            </w:tcBorders>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p>
        </w:tc>
      </w:tr>
      <w:tr w:rsidR="00A30FF0" w:rsidRPr="00B81D09" w:rsidTr="000F6ADC">
        <w:trPr>
          <w:trHeight w:val="215"/>
        </w:trPr>
        <w:tc>
          <w:tcPr>
            <w:tcW w:w="844" w:type="dxa"/>
            <w:vMerge w:val="restart"/>
            <w:tcBorders>
              <w:top w:val="nil"/>
              <w:left w:val="single" w:sz="12" w:space="0" w:color="808080"/>
              <w:bottom w:val="single" w:sz="12" w:space="0" w:color="808080"/>
              <w:right w:val="single" w:sz="12" w:space="0" w:color="808080"/>
            </w:tcBorders>
            <w:shd w:val="clear" w:color="000000" w:fill="F2F2F2"/>
            <w:vAlign w:val="center"/>
            <w:hideMark/>
          </w:tcPr>
          <w:p w:rsidR="00A30FF0" w:rsidRPr="00B81D09" w:rsidRDefault="00A30FF0" w:rsidP="000F6ADC">
            <w:pPr>
              <w:spacing w:after="0" w:line="240" w:lineRule="auto"/>
              <w:jc w:val="center"/>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100</w:t>
            </w:r>
          </w:p>
        </w:tc>
        <w:tc>
          <w:tcPr>
            <w:tcW w:w="1484" w:type="dxa"/>
            <w:vMerge w:val="restart"/>
            <w:tcBorders>
              <w:top w:val="nil"/>
              <w:left w:val="single" w:sz="12" w:space="0" w:color="808080"/>
              <w:bottom w:val="single" w:sz="12" w:space="0" w:color="808080"/>
              <w:right w:val="single" w:sz="12" w:space="0" w:color="808080"/>
            </w:tcBorders>
            <w:shd w:val="clear" w:color="000000" w:fill="F2F2F2"/>
            <w:vAlign w:val="center"/>
            <w:hideMark/>
          </w:tcPr>
          <w:p w:rsidR="00A30FF0" w:rsidRPr="00B81D09" w:rsidRDefault="00A30FF0" w:rsidP="000F6ADC">
            <w:pPr>
              <w:spacing w:after="0" w:line="240" w:lineRule="auto"/>
              <w:jc w:val="center"/>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N/A</w:t>
            </w:r>
          </w:p>
        </w:tc>
        <w:tc>
          <w:tcPr>
            <w:tcW w:w="1483" w:type="dxa"/>
            <w:vMerge w:val="restart"/>
            <w:tcBorders>
              <w:top w:val="nil"/>
              <w:left w:val="single" w:sz="12" w:space="0" w:color="808080"/>
              <w:bottom w:val="single" w:sz="12" w:space="0" w:color="808080"/>
              <w:right w:val="single" w:sz="12" w:space="0" w:color="808080"/>
            </w:tcBorders>
            <w:shd w:val="clear" w:color="000000" w:fill="F2F2F2"/>
            <w:vAlign w:val="center"/>
            <w:hideMark/>
          </w:tcPr>
          <w:p w:rsidR="00A30FF0" w:rsidRPr="00B81D09" w:rsidRDefault="00A30FF0" w:rsidP="000F6ADC">
            <w:pPr>
              <w:spacing w:after="0" w:line="240" w:lineRule="auto"/>
              <w:jc w:val="center"/>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106.9</w:t>
            </w:r>
          </w:p>
        </w:tc>
        <w:tc>
          <w:tcPr>
            <w:tcW w:w="1483" w:type="dxa"/>
            <w:vMerge w:val="restart"/>
            <w:tcBorders>
              <w:top w:val="nil"/>
              <w:left w:val="single" w:sz="12" w:space="0" w:color="808080"/>
              <w:bottom w:val="single" w:sz="12" w:space="0" w:color="808080"/>
              <w:right w:val="single" w:sz="12" w:space="0" w:color="808080"/>
            </w:tcBorders>
            <w:shd w:val="clear" w:color="000000" w:fill="F2F2F2"/>
            <w:vAlign w:val="center"/>
            <w:hideMark/>
          </w:tcPr>
          <w:p w:rsidR="00A30FF0" w:rsidRPr="00B81D09" w:rsidRDefault="00A30FF0" w:rsidP="000F6ADC">
            <w:pPr>
              <w:spacing w:after="0" w:line="240" w:lineRule="auto"/>
              <w:jc w:val="center"/>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108.8</w:t>
            </w:r>
          </w:p>
        </w:tc>
        <w:tc>
          <w:tcPr>
            <w:tcW w:w="1483" w:type="dxa"/>
            <w:vMerge w:val="restart"/>
            <w:tcBorders>
              <w:top w:val="nil"/>
              <w:left w:val="single" w:sz="12" w:space="0" w:color="808080"/>
              <w:bottom w:val="single" w:sz="12" w:space="0" w:color="808080"/>
              <w:right w:val="single" w:sz="12" w:space="0" w:color="808080"/>
            </w:tcBorders>
            <w:shd w:val="clear" w:color="000000" w:fill="F2F2F2"/>
            <w:vAlign w:val="center"/>
            <w:hideMark/>
          </w:tcPr>
          <w:p w:rsidR="00A30FF0" w:rsidRPr="00B81D09" w:rsidRDefault="00A30FF0" w:rsidP="000F6ADC">
            <w:pPr>
              <w:spacing w:after="0" w:line="240" w:lineRule="auto"/>
              <w:jc w:val="center"/>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111.0</w:t>
            </w:r>
          </w:p>
        </w:tc>
        <w:tc>
          <w:tcPr>
            <w:tcW w:w="1483" w:type="dxa"/>
            <w:vMerge w:val="restart"/>
            <w:tcBorders>
              <w:top w:val="nil"/>
              <w:left w:val="single" w:sz="12" w:space="0" w:color="808080"/>
              <w:bottom w:val="single" w:sz="12" w:space="0" w:color="808080"/>
              <w:right w:val="single" w:sz="12" w:space="0" w:color="808080"/>
            </w:tcBorders>
            <w:shd w:val="clear" w:color="000000" w:fill="F2F2F2"/>
            <w:vAlign w:val="center"/>
            <w:hideMark/>
          </w:tcPr>
          <w:p w:rsidR="00A30FF0" w:rsidRPr="00B81D09" w:rsidRDefault="00A30FF0" w:rsidP="008B64FC">
            <w:pPr>
              <w:spacing w:after="0" w:line="240" w:lineRule="auto"/>
              <w:jc w:val="center"/>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108.1</w:t>
            </w:r>
          </w:p>
        </w:tc>
        <w:tc>
          <w:tcPr>
            <w:tcW w:w="1071" w:type="dxa"/>
            <w:vMerge w:val="restart"/>
            <w:tcBorders>
              <w:top w:val="nil"/>
              <w:left w:val="single" w:sz="12" w:space="0" w:color="808080"/>
              <w:bottom w:val="single" w:sz="12" w:space="0" w:color="808080"/>
              <w:right w:val="single" w:sz="12" w:space="0" w:color="808080"/>
            </w:tcBorders>
            <w:shd w:val="clear" w:color="000000" w:fill="F2F2F2"/>
            <w:vAlign w:val="center"/>
            <w:hideMark/>
          </w:tcPr>
          <w:p w:rsidR="00A30FF0" w:rsidRPr="00B81D09" w:rsidRDefault="00A30FF0" w:rsidP="000F6ADC">
            <w:pPr>
              <w:spacing w:after="0" w:line="240" w:lineRule="auto"/>
              <w:jc w:val="center"/>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100</w:t>
            </w:r>
          </w:p>
        </w:tc>
      </w:tr>
      <w:tr w:rsidR="00A30FF0" w:rsidRPr="00B81D09" w:rsidTr="000F6ADC">
        <w:trPr>
          <w:trHeight w:val="315"/>
        </w:trPr>
        <w:tc>
          <w:tcPr>
            <w:tcW w:w="844" w:type="dxa"/>
            <w:vMerge/>
            <w:tcBorders>
              <w:top w:val="nil"/>
              <w:left w:val="single" w:sz="12" w:space="0" w:color="808080"/>
              <w:bottom w:val="single" w:sz="12" w:space="0" w:color="808080"/>
              <w:right w:val="single" w:sz="12" w:space="0" w:color="808080"/>
            </w:tcBorders>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p>
        </w:tc>
        <w:tc>
          <w:tcPr>
            <w:tcW w:w="1484" w:type="dxa"/>
            <w:vMerge/>
            <w:tcBorders>
              <w:top w:val="nil"/>
              <w:left w:val="single" w:sz="12" w:space="0" w:color="808080"/>
              <w:bottom w:val="single" w:sz="12" w:space="0" w:color="808080"/>
              <w:right w:val="single" w:sz="12" w:space="0" w:color="808080"/>
            </w:tcBorders>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p>
        </w:tc>
        <w:tc>
          <w:tcPr>
            <w:tcW w:w="1483" w:type="dxa"/>
            <w:vMerge/>
            <w:tcBorders>
              <w:top w:val="nil"/>
              <w:left w:val="single" w:sz="12" w:space="0" w:color="808080"/>
              <w:bottom w:val="single" w:sz="12" w:space="0" w:color="808080"/>
              <w:right w:val="single" w:sz="12" w:space="0" w:color="808080"/>
            </w:tcBorders>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p>
        </w:tc>
        <w:tc>
          <w:tcPr>
            <w:tcW w:w="1483" w:type="dxa"/>
            <w:vMerge/>
            <w:tcBorders>
              <w:top w:val="nil"/>
              <w:left w:val="single" w:sz="12" w:space="0" w:color="808080"/>
              <w:bottom w:val="single" w:sz="12" w:space="0" w:color="808080"/>
              <w:right w:val="single" w:sz="12" w:space="0" w:color="808080"/>
            </w:tcBorders>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p>
        </w:tc>
        <w:tc>
          <w:tcPr>
            <w:tcW w:w="1483" w:type="dxa"/>
            <w:vMerge/>
            <w:tcBorders>
              <w:top w:val="nil"/>
              <w:left w:val="single" w:sz="12" w:space="0" w:color="808080"/>
              <w:bottom w:val="single" w:sz="12" w:space="0" w:color="808080"/>
              <w:right w:val="single" w:sz="12" w:space="0" w:color="808080"/>
            </w:tcBorders>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p>
        </w:tc>
        <w:tc>
          <w:tcPr>
            <w:tcW w:w="1483" w:type="dxa"/>
            <w:vMerge/>
            <w:tcBorders>
              <w:top w:val="nil"/>
              <w:left w:val="single" w:sz="12" w:space="0" w:color="808080"/>
              <w:bottom w:val="single" w:sz="12" w:space="0" w:color="808080"/>
              <w:right w:val="single" w:sz="12" w:space="0" w:color="808080"/>
            </w:tcBorders>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p>
        </w:tc>
        <w:tc>
          <w:tcPr>
            <w:tcW w:w="1071" w:type="dxa"/>
            <w:vMerge/>
            <w:tcBorders>
              <w:top w:val="nil"/>
              <w:left w:val="single" w:sz="12" w:space="0" w:color="808080"/>
              <w:bottom w:val="single" w:sz="12" w:space="0" w:color="808080"/>
              <w:right w:val="single" w:sz="12" w:space="0" w:color="808080"/>
            </w:tcBorders>
            <w:vAlign w:val="center"/>
            <w:hideMark/>
          </w:tcPr>
          <w:p w:rsidR="00A30FF0" w:rsidRPr="00B81D09" w:rsidRDefault="00A30FF0" w:rsidP="000F6ADC">
            <w:pPr>
              <w:spacing w:after="0" w:line="240" w:lineRule="auto"/>
              <w:rPr>
                <w:rFonts w:ascii="Soberana Sans" w:eastAsia="Times New Roman" w:hAnsi="Soberana Sans" w:cs="Calibri"/>
                <w:color w:val="000000"/>
                <w:szCs w:val="17"/>
                <w:lang w:eastAsia="es-MX"/>
              </w:rPr>
            </w:pPr>
          </w:p>
        </w:tc>
      </w:tr>
      <w:tr w:rsidR="00A30FF0" w:rsidRPr="00B81D09" w:rsidTr="000F6ADC">
        <w:trPr>
          <w:trHeight w:val="329"/>
        </w:trPr>
        <w:tc>
          <w:tcPr>
            <w:tcW w:w="3811" w:type="dxa"/>
            <w:gridSpan w:val="3"/>
            <w:tcBorders>
              <w:top w:val="single" w:sz="12" w:space="0" w:color="808080"/>
              <w:left w:val="single" w:sz="12" w:space="0" w:color="808080"/>
              <w:bottom w:val="single" w:sz="12" w:space="0" w:color="808080"/>
              <w:right w:val="single" w:sz="12" w:space="0" w:color="808080"/>
            </w:tcBorders>
            <w:shd w:val="clear" w:color="000000" w:fill="D9D9D9"/>
            <w:vAlign w:val="center"/>
            <w:hideMark/>
          </w:tcPr>
          <w:p w:rsidR="00A30FF0" w:rsidRPr="00B81D09" w:rsidRDefault="00A30FF0" w:rsidP="000F6ADC">
            <w:pPr>
              <w:spacing w:after="0" w:line="240" w:lineRule="auto"/>
              <w:jc w:val="center"/>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Método de cálculo</w:t>
            </w:r>
          </w:p>
        </w:tc>
        <w:tc>
          <w:tcPr>
            <w:tcW w:w="4449" w:type="dxa"/>
            <w:gridSpan w:val="3"/>
            <w:tcBorders>
              <w:top w:val="single" w:sz="12" w:space="0" w:color="808080"/>
              <w:left w:val="nil"/>
              <w:bottom w:val="single" w:sz="12" w:space="0" w:color="808080"/>
              <w:right w:val="single" w:sz="12" w:space="0" w:color="808080"/>
            </w:tcBorders>
            <w:shd w:val="clear" w:color="000000" w:fill="D9D9D9"/>
            <w:vAlign w:val="center"/>
            <w:hideMark/>
          </w:tcPr>
          <w:p w:rsidR="00A30FF0" w:rsidRPr="00B81D09" w:rsidRDefault="00A30FF0" w:rsidP="000F6ADC">
            <w:pPr>
              <w:spacing w:after="0" w:line="240" w:lineRule="auto"/>
              <w:jc w:val="center"/>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Unidad de Medida</w:t>
            </w:r>
          </w:p>
        </w:tc>
        <w:tc>
          <w:tcPr>
            <w:tcW w:w="1071" w:type="dxa"/>
            <w:tcBorders>
              <w:top w:val="nil"/>
              <w:left w:val="nil"/>
              <w:bottom w:val="single" w:sz="12" w:space="0" w:color="808080"/>
              <w:right w:val="single" w:sz="12" w:space="0" w:color="808080"/>
            </w:tcBorders>
            <w:shd w:val="clear" w:color="000000" w:fill="D9D9D9"/>
            <w:vAlign w:val="center"/>
            <w:hideMark/>
          </w:tcPr>
          <w:p w:rsidR="00A30FF0" w:rsidRPr="00B81D09" w:rsidRDefault="00A30FF0" w:rsidP="000F6ADC">
            <w:pPr>
              <w:spacing w:after="0" w:line="240" w:lineRule="auto"/>
              <w:jc w:val="center"/>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Frecuencia de medición</w:t>
            </w:r>
          </w:p>
        </w:tc>
      </w:tr>
      <w:tr w:rsidR="00A30FF0" w:rsidRPr="00B81D09" w:rsidTr="000F6ADC">
        <w:trPr>
          <w:trHeight w:val="812"/>
        </w:trPr>
        <w:tc>
          <w:tcPr>
            <w:tcW w:w="3811" w:type="dxa"/>
            <w:gridSpan w:val="3"/>
            <w:tcBorders>
              <w:top w:val="single" w:sz="12" w:space="0" w:color="808080"/>
              <w:left w:val="single" w:sz="12" w:space="0" w:color="808080"/>
              <w:bottom w:val="single" w:sz="12" w:space="0" w:color="808080"/>
              <w:right w:val="single" w:sz="12" w:space="0" w:color="808080"/>
            </w:tcBorders>
            <w:shd w:val="clear" w:color="000000" w:fill="F2F2F2"/>
            <w:vAlign w:val="center"/>
            <w:hideMark/>
          </w:tcPr>
          <w:p w:rsidR="00A30FF0" w:rsidRPr="00B81D09" w:rsidRDefault="00A30FF0" w:rsidP="000F6ADC">
            <w:pPr>
              <w:spacing w:after="0" w:line="240" w:lineRule="auto"/>
              <w:jc w:val="center"/>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Monto del patrimonio de la Institución al cierre del ejercicio correspondiente entre el monto del patrimonio original actualizado.</w:t>
            </w:r>
          </w:p>
        </w:tc>
        <w:tc>
          <w:tcPr>
            <w:tcW w:w="4449" w:type="dxa"/>
            <w:gridSpan w:val="3"/>
            <w:tcBorders>
              <w:top w:val="single" w:sz="12" w:space="0" w:color="808080"/>
              <w:left w:val="nil"/>
              <w:bottom w:val="single" w:sz="12" w:space="0" w:color="808080"/>
              <w:right w:val="single" w:sz="12" w:space="0" w:color="808080"/>
            </w:tcBorders>
            <w:shd w:val="clear" w:color="000000" w:fill="F2F2F2"/>
            <w:vAlign w:val="center"/>
            <w:hideMark/>
          </w:tcPr>
          <w:p w:rsidR="00A30FF0" w:rsidRPr="00B81D09" w:rsidRDefault="00A30FF0" w:rsidP="000F6ADC">
            <w:pPr>
              <w:spacing w:after="0" w:line="240" w:lineRule="auto"/>
              <w:jc w:val="center"/>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porcentaje</w:t>
            </w:r>
          </w:p>
        </w:tc>
        <w:tc>
          <w:tcPr>
            <w:tcW w:w="1071" w:type="dxa"/>
            <w:tcBorders>
              <w:top w:val="nil"/>
              <w:left w:val="nil"/>
              <w:bottom w:val="single" w:sz="12" w:space="0" w:color="808080"/>
              <w:right w:val="single" w:sz="12" w:space="0" w:color="808080"/>
            </w:tcBorders>
            <w:shd w:val="clear" w:color="000000" w:fill="F2F2F2"/>
            <w:vAlign w:val="center"/>
            <w:hideMark/>
          </w:tcPr>
          <w:p w:rsidR="00A30FF0" w:rsidRPr="00B81D09" w:rsidRDefault="00A30FF0" w:rsidP="000F6ADC">
            <w:pPr>
              <w:spacing w:after="0" w:line="240" w:lineRule="auto"/>
              <w:jc w:val="center"/>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Anual</w:t>
            </w:r>
          </w:p>
        </w:tc>
      </w:tr>
      <w:tr w:rsidR="00A30FF0" w:rsidRPr="00B81D09" w:rsidTr="000F6ADC">
        <w:trPr>
          <w:trHeight w:val="226"/>
        </w:trPr>
        <w:tc>
          <w:tcPr>
            <w:tcW w:w="3811" w:type="dxa"/>
            <w:gridSpan w:val="3"/>
            <w:tcBorders>
              <w:top w:val="single" w:sz="12" w:space="0" w:color="808080"/>
              <w:left w:val="single" w:sz="12" w:space="0" w:color="808080"/>
              <w:bottom w:val="single" w:sz="12" w:space="0" w:color="808080"/>
              <w:right w:val="single" w:sz="12" w:space="0" w:color="808080"/>
            </w:tcBorders>
            <w:shd w:val="clear" w:color="000000" w:fill="D9D9D9"/>
            <w:vAlign w:val="center"/>
            <w:hideMark/>
          </w:tcPr>
          <w:p w:rsidR="00A30FF0" w:rsidRPr="00B81D09" w:rsidRDefault="00A30FF0" w:rsidP="000F6ADC">
            <w:pPr>
              <w:spacing w:after="0" w:line="240" w:lineRule="auto"/>
              <w:jc w:val="center"/>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Nombre de la variable 1</w:t>
            </w:r>
          </w:p>
        </w:tc>
        <w:tc>
          <w:tcPr>
            <w:tcW w:w="5520" w:type="dxa"/>
            <w:gridSpan w:val="4"/>
            <w:tcBorders>
              <w:top w:val="single" w:sz="12" w:space="0" w:color="808080"/>
              <w:left w:val="nil"/>
              <w:bottom w:val="single" w:sz="12" w:space="0" w:color="808080"/>
              <w:right w:val="single" w:sz="12" w:space="0" w:color="808080"/>
            </w:tcBorders>
            <w:shd w:val="clear" w:color="000000" w:fill="D9D9D9"/>
            <w:vAlign w:val="center"/>
            <w:hideMark/>
          </w:tcPr>
          <w:p w:rsidR="00A30FF0" w:rsidRPr="00B81D09" w:rsidRDefault="00A30FF0" w:rsidP="000F6ADC">
            <w:pPr>
              <w:spacing w:after="0" w:line="240" w:lineRule="auto"/>
              <w:jc w:val="center"/>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Valor observado de la variable 1 en 2017</w:t>
            </w:r>
          </w:p>
        </w:tc>
      </w:tr>
      <w:tr w:rsidR="00A30FF0" w:rsidRPr="00B81D09" w:rsidTr="000F6ADC">
        <w:trPr>
          <w:trHeight w:val="401"/>
        </w:trPr>
        <w:tc>
          <w:tcPr>
            <w:tcW w:w="3811" w:type="dxa"/>
            <w:gridSpan w:val="3"/>
            <w:tcBorders>
              <w:top w:val="single" w:sz="12" w:space="0" w:color="808080"/>
              <w:left w:val="single" w:sz="12" w:space="0" w:color="808080"/>
              <w:bottom w:val="single" w:sz="12" w:space="0" w:color="808080"/>
              <w:right w:val="single" w:sz="12" w:space="0" w:color="808080"/>
            </w:tcBorders>
            <w:shd w:val="clear" w:color="000000" w:fill="F2F2F2"/>
            <w:vAlign w:val="center"/>
            <w:hideMark/>
          </w:tcPr>
          <w:p w:rsidR="00A30FF0" w:rsidRPr="00B81D09" w:rsidRDefault="00A30FF0" w:rsidP="005220A8">
            <w:pPr>
              <w:spacing w:after="0" w:line="240" w:lineRule="auto"/>
              <w:jc w:val="center"/>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Monto del Patrimonio Prestable al cierre del ejercicio</w:t>
            </w:r>
            <w:r w:rsidR="00A17DD7">
              <w:rPr>
                <w:rFonts w:ascii="Soberana Sans" w:eastAsia="Times New Roman" w:hAnsi="Soberana Sans" w:cs="Calibri"/>
                <w:color w:val="000000"/>
                <w:szCs w:val="17"/>
                <w:lang w:eastAsia="es-MX"/>
              </w:rPr>
              <w:t>.</w:t>
            </w:r>
          </w:p>
        </w:tc>
        <w:tc>
          <w:tcPr>
            <w:tcW w:w="5520" w:type="dxa"/>
            <w:gridSpan w:val="4"/>
            <w:tcBorders>
              <w:top w:val="single" w:sz="12" w:space="0" w:color="808080"/>
              <w:left w:val="nil"/>
              <w:bottom w:val="single" w:sz="12" w:space="0" w:color="808080"/>
              <w:right w:val="single" w:sz="12" w:space="0" w:color="808080"/>
            </w:tcBorders>
            <w:shd w:val="clear" w:color="000000" w:fill="F2F2F2"/>
            <w:vAlign w:val="center"/>
            <w:hideMark/>
          </w:tcPr>
          <w:p w:rsidR="00A30FF0" w:rsidRPr="00B81D09" w:rsidRDefault="00A30FF0" w:rsidP="008B64FC">
            <w:pPr>
              <w:spacing w:after="0" w:line="240" w:lineRule="auto"/>
              <w:jc w:val="center"/>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31,289</w:t>
            </w:r>
          </w:p>
        </w:tc>
      </w:tr>
      <w:tr w:rsidR="00A30FF0" w:rsidRPr="00B81D09" w:rsidTr="000F6ADC">
        <w:trPr>
          <w:trHeight w:val="226"/>
        </w:trPr>
        <w:tc>
          <w:tcPr>
            <w:tcW w:w="3811" w:type="dxa"/>
            <w:gridSpan w:val="3"/>
            <w:tcBorders>
              <w:top w:val="single" w:sz="12" w:space="0" w:color="808080"/>
              <w:left w:val="single" w:sz="12" w:space="0" w:color="808080"/>
              <w:bottom w:val="single" w:sz="12" w:space="0" w:color="808080"/>
              <w:right w:val="single" w:sz="12" w:space="0" w:color="808080"/>
            </w:tcBorders>
            <w:shd w:val="clear" w:color="000000" w:fill="D9D9D9"/>
            <w:vAlign w:val="center"/>
            <w:hideMark/>
          </w:tcPr>
          <w:p w:rsidR="00A30FF0" w:rsidRPr="00B81D09" w:rsidRDefault="00A30FF0" w:rsidP="000F6ADC">
            <w:pPr>
              <w:spacing w:after="0" w:line="240" w:lineRule="auto"/>
              <w:jc w:val="center"/>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Nombre de la variable 2</w:t>
            </w:r>
          </w:p>
        </w:tc>
        <w:tc>
          <w:tcPr>
            <w:tcW w:w="5520" w:type="dxa"/>
            <w:gridSpan w:val="4"/>
            <w:tcBorders>
              <w:top w:val="single" w:sz="12" w:space="0" w:color="808080"/>
              <w:left w:val="nil"/>
              <w:bottom w:val="single" w:sz="12" w:space="0" w:color="808080"/>
              <w:right w:val="single" w:sz="12" w:space="0" w:color="808080"/>
            </w:tcBorders>
            <w:shd w:val="clear" w:color="000000" w:fill="D9D9D9"/>
            <w:vAlign w:val="center"/>
            <w:hideMark/>
          </w:tcPr>
          <w:p w:rsidR="00A30FF0" w:rsidRPr="00B81D09" w:rsidRDefault="00A30FF0" w:rsidP="000F6ADC">
            <w:pPr>
              <w:spacing w:after="0" w:line="240" w:lineRule="auto"/>
              <w:jc w:val="center"/>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Valor observado de la variable 2 en 2017</w:t>
            </w:r>
          </w:p>
        </w:tc>
      </w:tr>
      <w:tr w:rsidR="00A30FF0" w:rsidRPr="00B81D09" w:rsidTr="000F6ADC">
        <w:trPr>
          <w:trHeight w:val="370"/>
        </w:trPr>
        <w:tc>
          <w:tcPr>
            <w:tcW w:w="3811" w:type="dxa"/>
            <w:gridSpan w:val="3"/>
            <w:tcBorders>
              <w:top w:val="single" w:sz="12" w:space="0" w:color="808080"/>
              <w:left w:val="single" w:sz="12" w:space="0" w:color="808080"/>
              <w:bottom w:val="single" w:sz="12" w:space="0" w:color="808080"/>
              <w:right w:val="single" w:sz="12" w:space="0" w:color="808080"/>
            </w:tcBorders>
            <w:shd w:val="clear" w:color="000000" w:fill="F2F2F2"/>
            <w:vAlign w:val="center"/>
            <w:hideMark/>
          </w:tcPr>
          <w:p w:rsidR="00A30FF0" w:rsidRPr="00B81D09" w:rsidRDefault="00A30FF0" w:rsidP="005220A8">
            <w:pPr>
              <w:spacing w:after="0" w:line="240" w:lineRule="auto"/>
              <w:jc w:val="center"/>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Monto del Patrimonio Prestable original actualizado al cierre del ejercicio</w:t>
            </w:r>
            <w:r w:rsidR="00A17DD7">
              <w:rPr>
                <w:rFonts w:ascii="Soberana Sans" w:eastAsia="Times New Roman" w:hAnsi="Soberana Sans" w:cs="Calibri"/>
                <w:color w:val="000000"/>
                <w:szCs w:val="17"/>
                <w:lang w:eastAsia="es-MX"/>
              </w:rPr>
              <w:t>.</w:t>
            </w:r>
          </w:p>
        </w:tc>
        <w:tc>
          <w:tcPr>
            <w:tcW w:w="5520" w:type="dxa"/>
            <w:gridSpan w:val="4"/>
            <w:tcBorders>
              <w:top w:val="single" w:sz="12" w:space="0" w:color="808080"/>
              <w:left w:val="nil"/>
              <w:bottom w:val="single" w:sz="12" w:space="0" w:color="808080"/>
              <w:right w:val="single" w:sz="12" w:space="0" w:color="808080"/>
            </w:tcBorders>
            <w:shd w:val="clear" w:color="000000" w:fill="F2F2F2"/>
            <w:vAlign w:val="center"/>
            <w:hideMark/>
          </w:tcPr>
          <w:p w:rsidR="00A30FF0" w:rsidRPr="00B81D09" w:rsidRDefault="00A30FF0" w:rsidP="008B64FC">
            <w:pPr>
              <w:spacing w:after="0" w:line="240" w:lineRule="auto"/>
              <w:jc w:val="center"/>
              <w:rPr>
                <w:rFonts w:ascii="Soberana Sans" w:eastAsia="Times New Roman" w:hAnsi="Soberana Sans" w:cs="Calibri"/>
                <w:color w:val="000000"/>
                <w:szCs w:val="17"/>
                <w:lang w:eastAsia="es-MX"/>
              </w:rPr>
            </w:pPr>
            <w:r w:rsidRPr="00B81D09">
              <w:rPr>
                <w:rFonts w:ascii="Soberana Sans" w:eastAsia="Times New Roman" w:hAnsi="Soberana Sans" w:cs="Calibri"/>
                <w:color w:val="000000"/>
                <w:szCs w:val="17"/>
                <w:lang w:eastAsia="es-MX"/>
              </w:rPr>
              <w:t>28,952</w:t>
            </w:r>
          </w:p>
        </w:tc>
      </w:tr>
    </w:tbl>
    <w:p w:rsidR="00A30FF0" w:rsidRPr="008E570F" w:rsidRDefault="00A30FF0" w:rsidP="00A30FF0">
      <w:pPr>
        <w:spacing w:after="0" w:line="240" w:lineRule="auto"/>
        <w:rPr>
          <w:lang w:val="es-ES_tradnl"/>
        </w:rPr>
      </w:pPr>
      <w:r w:rsidRPr="008E570F">
        <w:rPr>
          <w:lang w:val="es-ES_tradnl"/>
        </w:rPr>
        <w:t>­ NA: No aplica, en tanto que, derivado del año de la línea base y la frecuencia de medición del indicador, no corresponde reportar valor observado del indicador para este año.</w:t>
      </w:r>
    </w:p>
    <w:p w:rsidR="00A30FF0" w:rsidRDefault="00A30FF0" w:rsidP="00A30FF0">
      <w:pPr>
        <w:pStyle w:val="TITULO1APARTADO"/>
        <w:rPr>
          <w:lang w:val="es-ES_tradnl"/>
        </w:rPr>
      </w:pPr>
    </w:p>
    <w:p w:rsidR="00A30FF0" w:rsidRDefault="00A30FF0" w:rsidP="00A30FF0">
      <w:pPr>
        <w:pStyle w:val="TITULO1APARTADO"/>
        <w:rPr>
          <w:lang w:val="es-ES_tradnl"/>
        </w:rPr>
      </w:pPr>
    </w:p>
    <w:p w:rsidR="00A30FF0" w:rsidRDefault="00A30FF0" w:rsidP="00A30FF0">
      <w:pPr>
        <w:pStyle w:val="TITULO1APARTADO"/>
        <w:rPr>
          <w:lang w:val="es-ES_tradnl"/>
        </w:rPr>
      </w:pPr>
    </w:p>
    <w:p w:rsidR="00A30FF0" w:rsidRDefault="00A30FF0" w:rsidP="00A30FF0">
      <w:pPr>
        <w:pStyle w:val="TITULO1APARTADO"/>
        <w:rPr>
          <w:lang w:val="es-ES_tradnl"/>
        </w:rPr>
      </w:pPr>
    </w:p>
    <w:p w:rsidR="00A30FF0" w:rsidRDefault="00A30FF0" w:rsidP="00A30FF0">
      <w:pPr>
        <w:rPr>
          <w:lang w:val="es-ES_tradnl"/>
        </w:rPr>
      </w:pPr>
    </w:p>
    <w:p w:rsidR="00A30FF0" w:rsidRDefault="00A30FF0" w:rsidP="00A30FF0">
      <w:pPr>
        <w:rPr>
          <w:lang w:val="es-ES_tradnl"/>
        </w:rPr>
      </w:pPr>
    </w:p>
    <w:p w:rsidR="00A30FF0" w:rsidRDefault="00A30FF0" w:rsidP="00A30FF0">
      <w:pPr>
        <w:rPr>
          <w:lang w:val="es-ES_tradnl"/>
        </w:rPr>
      </w:pPr>
    </w:p>
    <w:p w:rsidR="00A30FF0" w:rsidRDefault="00A30FF0" w:rsidP="00A30FF0">
      <w:pPr>
        <w:rPr>
          <w:lang w:val="es-ES_tradnl"/>
        </w:rPr>
      </w:pPr>
    </w:p>
    <w:p w:rsidR="00A30FF0" w:rsidRDefault="00A30FF0" w:rsidP="00A30FF0">
      <w:pPr>
        <w:rPr>
          <w:lang w:val="es-ES_tradnl"/>
        </w:rPr>
      </w:pPr>
    </w:p>
    <w:p w:rsidR="00A30FF0" w:rsidRDefault="00A30FF0" w:rsidP="00A30FF0">
      <w:pPr>
        <w:rPr>
          <w:lang w:val="es-ES_tradnl"/>
        </w:rPr>
      </w:pPr>
    </w:p>
    <w:p w:rsidR="00A30FF0" w:rsidRDefault="00A30FF0" w:rsidP="00A30FF0">
      <w:pPr>
        <w:rPr>
          <w:lang w:val="es-ES_tradnl"/>
        </w:rPr>
      </w:pPr>
    </w:p>
    <w:p w:rsidR="00F40F5E" w:rsidRDefault="00F40F5E" w:rsidP="00A30FF0">
      <w:pPr>
        <w:pStyle w:val="TITULO1APARTADO"/>
        <w:rPr>
          <w:lang w:val="es-ES_tradnl"/>
        </w:rPr>
      </w:pPr>
    </w:p>
    <w:p w:rsidR="00A30FF0" w:rsidRDefault="00A30FF0" w:rsidP="00A30FF0">
      <w:pPr>
        <w:pStyle w:val="TITULO1APARTADO"/>
        <w:rPr>
          <w:lang w:val="es-ES_tradnl"/>
        </w:rPr>
      </w:pPr>
      <w:r>
        <w:rPr>
          <w:lang w:val="es-ES_tradnl"/>
        </w:rPr>
        <w:t>Glosario</w:t>
      </w:r>
    </w:p>
    <w:p w:rsidR="00F40F5E" w:rsidRPr="00F40F5E" w:rsidRDefault="00F40F5E" w:rsidP="00F40F5E">
      <w:pPr>
        <w:rPr>
          <w:lang w:val="es-ES_tradnl"/>
        </w:rPr>
      </w:pPr>
    </w:p>
    <w:p w:rsidR="00A30FF0" w:rsidRPr="0074405F" w:rsidRDefault="00A30FF0" w:rsidP="00A30FF0">
      <w:pPr>
        <w:rPr>
          <w:lang w:val="es-ES_tradnl"/>
        </w:rPr>
      </w:pPr>
    </w:p>
    <w:p w:rsidR="00A30FF0" w:rsidRPr="00676990" w:rsidRDefault="00A30FF0" w:rsidP="008A286B">
      <w:pPr>
        <w:spacing w:before="120" w:after="120" w:line="220" w:lineRule="exact"/>
        <w:rPr>
          <w:szCs w:val="17"/>
          <w:lang w:eastAsia="es-MX"/>
        </w:rPr>
      </w:pPr>
      <w:r w:rsidRPr="00676990">
        <w:rPr>
          <w:szCs w:val="17"/>
          <w:lang w:eastAsia="es-MX"/>
        </w:rPr>
        <w:t>Activos f</w:t>
      </w:r>
      <w:r>
        <w:rPr>
          <w:szCs w:val="17"/>
          <w:lang w:eastAsia="es-MX"/>
        </w:rPr>
        <w:t>ijos: Un activo fijo es un bien</w:t>
      </w:r>
      <w:r w:rsidRPr="00676990">
        <w:rPr>
          <w:szCs w:val="17"/>
          <w:lang w:eastAsia="es-MX"/>
        </w:rPr>
        <w:t xml:space="preserve"> tangible, que no puede convertirse en líquido a corto plazo y que normalmente son necesarios para el funcionamiento de la empresa y no se destinan a la venta.</w:t>
      </w:r>
    </w:p>
    <w:p w:rsidR="00A30FF0" w:rsidRPr="00676990" w:rsidRDefault="00A30FF0" w:rsidP="008A286B">
      <w:pPr>
        <w:spacing w:before="120" w:after="120" w:line="220" w:lineRule="exact"/>
        <w:rPr>
          <w:szCs w:val="17"/>
          <w:lang w:eastAsia="es-MX"/>
        </w:rPr>
      </w:pPr>
    </w:p>
    <w:p w:rsidR="00A30FF0" w:rsidRDefault="00A30FF0" w:rsidP="008A286B">
      <w:pPr>
        <w:spacing w:before="120" w:after="120" w:line="220" w:lineRule="exact"/>
        <w:rPr>
          <w:szCs w:val="17"/>
          <w:lang w:eastAsia="es-MX"/>
        </w:rPr>
      </w:pPr>
      <w:r w:rsidRPr="00676990">
        <w:rPr>
          <w:szCs w:val="17"/>
          <w:lang w:eastAsia="es-MX"/>
        </w:rPr>
        <w:t>Arrendamiento Financiero. Es un contrato mediante el cual, el arrendador traspasa el derecho a usar un bien a un arrendatario, a cambio del pago de rentas de arrendamiento durante un plazo determinado, al término del cual el arrendatario tiene la opción de comprar el bien arrendado pagando un precio determinado, devolverlo o renovar el contrato.</w:t>
      </w:r>
    </w:p>
    <w:p w:rsidR="00A30FF0" w:rsidRPr="00676990" w:rsidRDefault="00A30FF0" w:rsidP="008A286B">
      <w:pPr>
        <w:spacing w:before="120" w:after="120" w:line="220" w:lineRule="exact"/>
        <w:rPr>
          <w:szCs w:val="17"/>
          <w:lang w:eastAsia="es-MX"/>
        </w:rPr>
      </w:pPr>
    </w:p>
    <w:p w:rsidR="00A30FF0" w:rsidRPr="00676990" w:rsidRDefault="00A30FF0" w:rsidP="008A286B">
      <w:pPr>
        <w:spacing w:before="120" w:after="120" w:line="220" w:lineRule="exact"/>
        <w:rPr>
          <w:szCs w:val="17"/>
          <w:lang w:eastAsia="es-MX"/>
        </w:rPr>
      </w:pPr>
      <w:r w:rsidRPr="00676990">
        <w:rPr>
          <w:szCs w:val="17"/>
          <w:lang w:eastAsia="es-MX"/>
        </w:rPr>
        <w:t xml:space="preserve">Intermediarios </w:t>
      </w:r>
      <w:r>
        <w:rPr>
          <w:szCs w:val="17"/>
          <w:lang w:eastAsia="es-MX"/>
        </w:rPr>
        <w:t xml:space="preserve">Financieros Rurales: A las sociedades cooperativas de ahorro y préstamo y sociedades financieras populares que se regulan en la Ley de Ahorro y Crédito Popular; a las uniones de crédito y almacenes generales de depósito a que se refiere la Ley de la materia, y a los demás intermediarios financieros que determine la legislación vigente, así como aquellos que acuerde el Consejo y coadyuven al cumplimiento del objeto de la Financiera; </w:t>
      </w:r>
    </w:p>
    <w:p w:rsidR="00A30FF0" w:rsidRPr="00676990" w:rsidRDefault="00A30FF0" w:rsidP="008A286B">
      <w:pPr>
        <w:spacing w:before="120" w:after="120" w:line="220" w:lineRule="exact"/>
        <w:rPr>
          <w:szCs w:val="17"/>
          <w:lang w:eastAsia="es-MX"/>
        </w:rPr>
      </w:pPr>
    </w:p>
    <w:p w:rsidR="00A30FF0" w:rsidRPr="00676990" w:rsidRDefault="00A30FF0" w:rsidP="008A286B">
      <w:pPr>
        <w:spacing w:before="120" w:after="120" w:line="220" w:lineRule="exact"/>
        <w:rPr>
          <w:szCs w:val="17"/>
          <w:lang w:eastAsia="es-MX"/>
        </w:rPr>
      </w:pPr>
      <w:r w:rsidRPr="00676990">
        <w:rPr>
          <w:szCs w:val="17"/>
          <w:lang w:eastAsia="es-MX"/>
        </w:rPr>
        <w:t>Límites de riesgo: Es la cantidad máxima que puedes arriesgar en tu cuenta en un momento determinado.</w:t>
      </w:r>
    </w:p>
    <w:p w:rsidR="00A30FF0" w:rsidRPr="00676990" w:rsidRDefault="00A30FF0" w:rsidP="008A286B">
      <w:pPr>
        <w:spacing w:before="120" w:after="120" w:line="220" w:lineRule="exact"/>
        <w:rPr>
          <w:szCs w:val="17"/>
          <w:lang w:eastAsia="es-MX"/>
        </w:rPr>
      </w:pPr>
    </w:p>
    <w:p w:rsidR="00A30FF0" w:rsidRPr="00676990" w:rsidRDefault="00A30FF0" w:rsidP="008A286B">
      <w:pPr>
        <w:spacing w:before="120" w:after="120" w:line="220" w:lineRule="exact"/>
        <w:rPr>
          <w:szCs w:val="17"/>
          <w:lang w:eastAsia="es-MX"/>
        </w:rPr>
      </w:pPr>
      <w:r w:rsidRPr="00676990">
        <w:rPr>
          <w:szCs w:val="17"/>
          <w:lang w:eastAsia="es-MX"/>
        </w:rPr>
        <w:t>Niveles de tolerancia: La tolerancia de riesgo es la capacidad de aceptar riesgo; es el nivel de riesgo que una organización puede o está dispuesto a soportar.</w:t>
      </w:r>
    </w:p>
    <w:p w:rsidR="00A30FF0" w:rsidRPr="00676990" w:rsidRDefault="00A30FF0" w:rsidP="008A286B">
      <w:pPr>
        <w:spacing w:before="120" w:after="120" w:line="220" w:lineRule="exact"/>
        <w:rPr>
          <w:szCs w:val="17"/>
          <w:lang w:eastAsia="es-MX"/>
        </w:rPr>
      </w:pPr>
    </w:p>
    <w:p w:rsidR="00A30FF0" w:rsidRPr="00676990" w:rsidRDefault="00A30FF0" w:rsidP="008A286B">
      <w:pPr>
        <w:spacing w:before="120" w:after="120" w:line="220" w:lineRule="exact"/>
        <w:rPr>
          <w:szCs w:val="17"/>
          <w:lang w:eastAsia="es-MX"/>
        </w:rPr>
      </w:pPr>
      <w:r w:rsidRPr="00676990">
        <w:rPr>
          <w:szCs w:val="17"/>
          <w:lang w:eastAsia="es-MX"/>
        </w:rPr>
        <w:t>Paquetes Tecnológicos: Es un conjunto de documentos, derechos de propiedad, actividades, soluciones de gestión y modelos necesarias para lograr que una tecnología, se transforme en un producto comercializable o transferible a empresas con capacidad de absorber la tecnología, aprovecharla, integrarla y detonar ventajas competitivas respecto a los competidores y mercados existentes.</w:t>
      </w:r>
    </w:p>
    <w:p w:rsidR="00A30FF0" w:rsidRPr="005277ED" w:rsidRDefault="00A30FF0" w:rsidP="008A286B">
      <w:pPr>
        <w:spacing w:before="120" w:after="120" w:line="220" w:lineRule="exact"/>
        <w:rPr>
          <w:szCs w:val="17"/>
          <w:lang w:eastAsia="es-MX"/>
        </w:rPr>
      </w:pPr>
    </w:p>
    <w:p w:rsidR="00A30FF0" w:rsidRPr="005277ED" w:rsidRDefault="00A30FF0" w:rsidP="008A286B">
      <w:pPr>
        <w:pStyle w:val="Textoindependiente3"/>
        <w:spacing w:after="120" w:line="220" w:lineRule="exact"/>
        <w:jc w:val="both"/>
      </w:pPr>
      <w:r w:rsidRPr="005277ED">
        <w:rPr>
          <w:rFonts w:ascii="Soberana Sans Light" w:hAnsi="Soberana Sans Light"/>
          <w:sz w:val="17"/>
          <w:szCs w:val="17"/>
          <w:lang w:eastAsia="es-MX"/>
        </w:rPr>
        <w:t xml:space="preserve">Reporto: </w:t>
      </w:r>
      <w:r w:rsidRPr="005277ED">
        <w:rPr>
          <w:rFonts w:ascii="Soberana Sans Light" w:eastAsia="Calibri" w:hAnsi="Soberana Sans Light"/>
          <w:bCs w:val="0"/>
          <w:sz w:val="17"/>
          <w:szCs w:val="17"/>
          <w:lang w:val="es-MX" w:eastAsia="es-MX"/>
        </w:rPr>
        <w:t>Al amparo del esquema de Reporto, la FND adquiere del reportado por una suma de dinero la propiedad de títulos de crédito, consistentes en Certificados de Depósito con sus Bonos de Prenda, emitidos por un Almacén General de Depósito, obligándose a regresar al reportado, una vez transcurrido el plazo acordado, la propiedad de los mismos u otros títulos de la misma especie contra el reembolso del mismo monto más un premio.</w:t>
      </w:r>
    </w:p>
    <w:p w:rsidR="00F40F5E" w:rsidRDefault="00A30FF0" w:rsidP="00A30FF0">
      <w:pPr>
        <w:pStyle w:val="TITULO1APARTADO"/>
        <w:rPr>
          <w:lang w:val="es-ES_tradnl"/>
        </w:rPr>
      </w:pPr>
      <w:r w:rsidRPr="00676990">
        <w:rPr>
          <w:lang w:val="es-ES_tradnl"/>
        </w:rPr>
        <w:br w:type="page"/>
      </w:r>
    </w:p>
    <w:p w:rsidR="00F40F5E" w:rsidRDefault="00F40F5E" w:rsidP="00A30FF0">
      <w:pPr>
        <w:pStyle w:val="TITULO1APARTADO"/>
        <w:rPr>
          <w:lang w:val="es-ES_tradnl"/>
        </w:rPr>
      </w:pPr>
    </w:p>
    <w:p w:rsidR="00A30FF0" w:rsidRPr="00676990" w:rsidRDefault="00A30FF0" w:rsidP="00A30FF0">
      <w:pPr>
        <w:pStyle w:val="TITULO1APARTADO"/>
        <w:rPr>
          <w:lang w:val="es-ES_tradnl"/>
        </w:rPr>
      </w:pPr>
      <w:r w:rsidRPr="00676990">
        <w:rPr>
          <w:lang w:val="es-ES_tradnl"/>
        </w:rPr>
        <w:t>Siglas y abreviaturas</w:t>
      </w:r>
    </w:p>
    <w:p w:rsidR="00A30FF0" w:rsidRDefault="00A30FF0" w:rsidP="00F40F5E">
      <w:pPr>
        <w:pStyle w:val="Cuerpodeltexto"/>
      </w:pPr>
    </w:p>
    <w:p w:rsidR="00F40F5E" w:rsidRPr="00676990" w:rsidRDefault="00F40F5E" w:rsidP="00F40F5E">
      <w:pPr>
        <w:pStyle w:val="Cuerpodeltexto"/>
      </w:pPr>
    </w:p>
    <w:p w:rsidR="00BF60DF" w:rsidRDefault="00BF60DF" w:rsidP="00BF60DF">
      <w:pPr>
        <w:pStyle w:val="Cuerpodeltexto"/>
      </w:pPr>
      <w:r w:rsidRPr="001D0441">
        <w:t>CAIR</w:t>
      </w:r>
      <w:r>
        <w:t xml:space="preserve">: </w:t>
      </w:r>
      <w:r w:rsidRPr="001D0441">
        <w:t>Comité de Admi</w:t>
      </w:r>
      <w:r>
        <w:t>nistración Integral de Riesgos.</w:t>
      </w:r>
    </w:p>
    <w:p w:rsidR="00BF60DF" w:rsidRPr="00676990" w:rsidRDefault="00BF60DF" w:rsidP="00BF60DF">
      <w:pPr>
        <w:pStyle w:val="Cuerpodeltexto"/>
      </w:pPr>
    </w:p>
    <w:p w:rsidR="00BF60DF" w:rsidRDefault="00BF60DF" w:rsidP="00BF60DF">
      <w:pPr>
        <w:spacing w:before="120" w:after="120" w:line="220" w:lineRule="exact"/>
        <w:rPr>
          <w:szCs w:val="17"/>
          <w:lang w:eastAsia="es-MX"/>
        </w:rPr>
      </w:pPr>
      <w:r w:rsidRPr="006C7790">
        <w:rPr>
          <w:szCs w:val="17"/>
          <w:lang w:eastAsia="es-MX"/>
        </w:rPr>
        <w:t>CNBV</w:t>
      </w:r>
      <w:r>
        <w:rPr>
          <w:szCs w:val="17"/>
          <w:lang w:eastAsia="es-MX"/>
        </w:rPr>
        <w:t xml:space="preserve">: </w:t>
      </w:r>
      <w:r w:rsidRPr="006C7790">
        <w:rPr>
          <w:szCs w:val="17"/>
          <w:lang w:eastAsia="es-MX"/>
        </w:rPr>
        <w:t xml:space="preserve">Comisión </w:t>
      </w:r>
      <w:r>
        <w:rPr>
          <w:szCs w:val="17"/>
          <w:lang w:eastAsia="es-MX"/>
        </w:rPr>
        <w:t>Nacional Bancaria y de Valores.</w:t>
      </w:r>
    </w:p>
    <w:p w:rsidR="00BF60DF" w:rsidRDefault="00BF60DF" w:rsidP="00BF60DF">
      <w:pPr>
        <w:spacing w:before="120" w:after="120" w:line="220" w:lineRule="exact"/>
        <w:rPr>
          <w:szCs w:val="17"/>
          <w:lang w:eastAsia="es-MX"/>
        </w:rPr>
      </w:pPr>
    </w:p>
    <w:p w:rsidR="00BF60DF" w:rsidRDefault="00BF60DF" w:rsidP="00BF60DF">
      <w:pPr>
        <w:spacing w:before="120" w:after="120" w:line="220" w:lineRule="exact"/>
        <w:rPr>
          <w:szCs w:val="17"/>
          <w:lang w:eastAsia="es-MX"/>
        </w:rPr>
      </w:pPr>
      <w:r>
        <w:rPr>
          <w:szCs w:val="17"/>
          <w:lang w:eastAsia="es-MX"/>
        </w:rPr>
        <w:t>CONACYT: Consejo Nacional de Ciencia y Tecnología.</w:t>
      </w:r>
    </w:p>
    <w:p w:rsidR="00BF60DF" w:rsidRDefault="00BF60DF" w:rsidP="00BF60DF">
      <w:pPr>
        <w:spacing w:before="120" w:after="120" w:line="220" w:lineRule="exact"/>
        <w:rPr>
          <w:szCs w:val="17"/>
          <w:lang w:eastAsia="es-MX"/>
        </w:rPr>
      </w:pPr>
    </w:p>
    <w:p w:rsidR="00BF60DF" w:rsidRDefault="00BF60DF" w:rsidP="00BF60DF">
      <w:pPr>
        <w:spacing w:before="120" w:after="120" w:line="220" w:lineRule="exact"/>
        <w:rPr>
          <w:szCs w:val="17"/>
          <w:lang w:eastAsia="es-MX"/>
        </w:rPr>
      </w:pPr>
      <w:r>
        <w:rPr>
          <w:szCs w:val="17"/>
          <w:lang w:eastAsia="es-MX"/>
        </w:rPr>
        <w:t>CONAFOR: Comisión Nacional Forestal.</w:t>
      </w:r>
    </w:p>
    <w:p w:rsidR="00BF60DF" w:rsidRDefault="00BF60DF" w:rsidP="00BF60DF">
      <w:pPr>
        <w:spacing w:before="120" w:after="120" w:line="220" w:lineRule="exact"/>
        <w:rPr>
          <w:szCs w:val="17"/>
          <w:lang w:eastAsia="es-MX"/>
        </w:rPr>
      </w:pPr>
    </w:p>
    <w:p w:rsidR="00BF60DF" w:rsidRDefault="00BF60DF" w:rsidP="00BF60DF">
      <w:pPr>
        <w:spacing w:before="120" w:after="120" w:line="220" w:lineRule="exact"/>
        <w:rPr>
          <w:szCs w:val="17"/>
          <w:lang w:eastAsia="es-MX"/>
        </w:rPr>
      </w:pPr>
      <w:r w:rsidRPr="006C7790">
        <w:rPr>
          <w:szCs w:val="17"/>
          <w:lang w:eastAsia="es-MX"/>
        </w:rPr>
        <w:t>DICONSA</w:t>
      </w:r>
      <w:r>
        <w:rPr>
          <w:szCs w:val="17"/>
          <w:lang w:eastAsia="es-MX"/>
        </w:rPr>
        <w:t xml:space="preserve">: </w:t>
      </w:r>
      <w:r w:rsidRPr="006C7790">
        <w:rPr>
          <w:szCs w:val="17"/>
          <w:lang w:eastAsia="es-MX"/>
        </w:rPr>
        <w:t>Distribuidora e Impulsora Co</w:t>
      </w:r>
      <w:r>
        <w:rPr>
          <w:szCs w:val="17"/>
          <w:lang w:eastAsia="es-MX"/>
        </w:rPr>
        <w:t>mercial Conasupo, S.A. de C.V.</w:t>
      </w:r>
    </w:p>
    <w:p w:rsidR="00BF60DF" w:rsidRDefault="00BF60DF" w:rsidP="00BF60DF">
      <w:pPr>
        <w:spacing w:before="120" w:after="120" w:line="220" w:lineRule="exact"/>
        <w:rPr>
          <w:szCs w:val="17"/>
          <w:lang w:eastAsia="es-MX"/>
        </w:rPr>
      </w:pPr>
    </w:p>
    <w:p w:rsidR="00BF60DF" w:rsidRDefault="00BF60DF" w:rsidP="00BF60DF">
      <w:pPr>
        <w:spacing w:before="120" w:after="120" w:line="220" w:lineRule="exact"/>
        <w:rPr>
          <w:lang w:val="es-ES" w:eastAsia="es-ES"/>
        </w:rPr>
      </w:pPr>
      <w:r w:rsidRPr="00487899">
        <w:rPr>
          <w:szCs w:val="17"/>
          <w:lang w:eastAsia="es-MX"/>
        </w:rPr>
        <w:t>EIF</w:t>
      </w:r>
      <w:r>
        <w:rPr>
          <w:lang w:val="es-ES" w:eastAsia="es-ES"/>
        </w:rPr>
        <w:t xml:space="preserve">: </w:t>
      </w:r>
      <w:r w:rsidRPr="00C61A63">
        <w:rPr>
          <w:lang w:val="es-ES" w:eastAsia="es-ES"/>
        </w:rPr>
        <w:t>Empresa</w:t>
      </w:r>
      <w:r>
        <w:rPr>
          <w:lang w:val="es-ES" w:eastAsia="es-ES"/>
        </w:rPr>
        <w:t>s de Intermediación Financiera.</w:t>
      </w:r>
    </w:p>
    <w:p w:rsidR="00BF60DF" w:rsidRDefault="00BF60DF" w:rsidP="00BF60DF">
      <w:pPr>
        <w:spacing w:before="120" w:after="120" w:line="220" w:lineRule="exact"/>
        <w:rPr>
          <w:szCs w:val="17"/>
          <w:lang w:eastAsia="es-MX"/>
        </w:rPr>
      </w:pPr>
    </w:p>
    <w:p w:rsidR="00BF60DF" w:rsidRDefault="00BF60DF" w:rsidP="00BF60DF">
      <w:pPr>
        <w:spacing w:before="120" w:after="120" w:line="220" w:lineRule="exact"/>
        <w:rPr>
          <w:szCs w:val="17"/>
          <w:lang w:eastAsia="es-MX"/>
        </w:rPr>
      </w:pPr>
      <w:r>
        <w:rPr>
          <w:szCs w:val="17"/>
          <w:lang w:eastAsia="es-MX"/>
        </w:rPr>
        <w:t xml:space="preserve">FOSEFOR: </w:t>
      </w:r>
      <w:r w:rsidRPr="00037EC5">
        <w:rPr>
          <w:szCs w:val="17"/>
          <w:lang w:eastAsia="es-MX"/>
        </w:rPr>
        <w:t>Fondo para la Inclusión Financiera del Sector Forestal</w:t>
      </w:r>
      <w:r>
        <w:rPr>
          <w:szCs w:val="17"/>
          <w:lang w:eastAsia="es-MX"/>
        </w:rPr>
        <w:t>.</w:t>
      </w:r>
    </w:p>
    <w:p w:rsidR="00BF60DF" w:rsidRDefault="00BF60DF" w:rsidP="00BF60DF">
      <w:pPr>
        <w:spacing w:before="120" w:after="120" w:line="220" w:lineRule="exact"/>
        <w:rPr>
          <w:szCs w:val="17"/>
          <w:lang w:eastAsia="es-MX"/>
        </w:rPr>
      </w:pPr>
    </w:p>
    <w:p w:rsidR="00BF60DF" w:rsidRPr="004251D6" w:rsidRDefault="00BF60DF" w:rsidP="00BF60DF">
      <w:pPr>
        <w:spacing w:before="120" w:after="120" w:line="220" w:lineRule="exact"/>
        <w:rPr>
          <w:szCs w:val="17"/>
          <w:lang w:eastAsia="es-MX"/>
        </w:rPr>
      </w:pPr>
      <w:r w:rsidRPr="004251D6">
        <w:rPr>
          <w:szCs w:val="17"/>
          <w:lang w:eastAsia="es-MX"/>
        </w:rPr>
        <w:t>IMOR</w:t>
      </w:r>
      <w:r>
        <w:rPr>
          <w:szCs w:val="17"/>
          <w:lang w:eastAsia="es-MX"/>
        </w:rPr>
        <w:t>: Índice de Morosidad.</w:t>
      </w:r>
    </w:p>
    <w:p w:rsidR="00BF60DF" w:rsidRDefault="00BF60DF" w:rsidP="00BF60DF">
      <w:pPr>
        <w:spacing w:before="120" w:after="120" w:line="220" w:lineRule="exact"/>
        <w:rPr>
          <w:szCs w:val="17"/>
          <w:lang w:eastAsia="es-MX"/>
        </w:rPr>
      </w:pPr>
    </w:p>
    <w:p w:rsidR="00BF60DF" w:rsidRDefault="00BF60DF" w:rsidP="00BF60DF">
      <w:pPr>
        <w:spacing w:before="120" w:after="120" w:line="220" w:lineRule="exact"/>
        <w:rPr>
          <w:szCs w:val="17"/>
          <w:lang w:eastAsia="es-MX"/>
        </w:rPr>
      </w:pPr>
      <w:r w:rsidRPr="004251D6">
        <w:rPr>
          <w:szCs w:val="17"/>
          <w:lang w:eastAsia="es-MX"/>
        </w:rPr>
        <w:t>IMORA</w:t>
      </w:r>
      <w:r>
        <w:rPr>
          <w:szCs w:val="17"/>
          <w:lang w:eastAsia="es-MX"/>
        </w:rPr>
        <w:t>: Índice de Morosidad Ajustado.</w:t>
      </w:r>
    </w:p>
    <w:p w:rsidR="00BF60DF" w:rsidRDefault="00BF60DF" w:rsidP="00BF60DF">
      <w:pPr>
        <w:spacing w:before="120" w:after="120" w:line="220" w:lineRule="exact"/>
        <w:rPr>
          <w:szCs w:val="17"/>
          <w:lang w:eastAsia="es-MX"/>
        </w:rPr>
      </w:pPr>
    </w:p>
    <w:p w:rsidR="00BF60DF" w:rsidRDefault="00BF60DF" w:rsidP="00BF60DF">
      <w:pPr>
        <w:spacing w:before="120" w:after="120" w:line="220" w:lineRule="exact"/>
        <w:rPr>
          <w:szCs w:val="17"/>
          <w:lang w:eastAsia="es-MX"/>
        </w:rPr>
      </w:pPr>
      <w:r w:rsidRPr="004F11A2">
        <w:rPr>
          <w:szCs w:val="17"/>
          <w:lang w:eastAsia="es-MX"/>
        </w:rPr>
        <w:t>INIFAP</w:t>
      </w:r>
      <w:r>
        <w:rPr>
          <w:szCs w:val="17"/>
          <w:lang w:eastAsia="es-MX"/>
        </w:rPr>
        <w:t xml:space="preserve">: </w:t>
      </w:r>
      <w:r w:rsidRPr="004F11A2">
        <w:rPr>
          <w:szCs w:val="17"/>
          <w:lang w:eastAsia="es-MX"/>
        </w:rPr>
        <w:t>Instituto Nacional de Investigaciones For</w:t>
      </w:r>
      <w:r>
        <w:rPr>
          <w:szCs w:val="17"/>
          <w:lang w:eastAsia="es-MX"/>
        </w:rPr>
        <w:t>estales, Agrícolas y Pecuarias.</w:t>
      </w:r>
    </w:p>
    <w:p w:rsidR="00BF60DF" w:rsidRDefault="00BF60DF" w:rsidP="00BF60DF">
      <w:pPr>
        <w:spacing w:before="120" w:after="120" w:line="220" w:lineRule="exact"/>
        <w:rPr>
          <w:szCs w:val="17"/>
          <w:lang w:eastAsia="es-MX"/>
        </w:rPr>
      </w:pPr>
    </w:p>
    <w:p w:rsidR="00BF60DF" w:rsidRPr="004F11A2" w:rsidRDefault="00BF60DF" w:rsidP="00BF60DF">
      <w:pPr>
        <w:spacing w:before="120" w:after="120" w:line="220" w:lineRule="exact"/>
        <w:rPr>
          <w:szCs w:val="17"/>
          <w:lang w:eastAsia="es-MX"/>
        </w:rPr>
      </w:pPr>
      <w:r w:rsidRPr="004F11A2">
        <w:rPr>
          <w:szCs w:val="17"/>
          <w:lang w:eastAsia="es-MX"/>
        </w:rPr>
        <w:t>MNPR</w:t>
      </w:r>
      <w:r>
        <w:rPr>
          <w:szCs w:val="17"/>
          <w:lang w:eastAsia="es-MX"/>
        </w:rPr>
        <w:t xml:space="preserve">: </w:t>
      </w:r>
      <w:r w:rsidRPr="004F11A2">
        <w:rPr>
          <w:szCs w:val="17"/>
          <w:lang w:eastAsia="es-MX"/>
        </w:rPr>
        <w:t>Manual de</w:t>
      </w:r>
      <w:r>
        <w:rPr>
          <w:szCs w:val="17"/>
          <w:lang w:eastAsia="es-MX"/>
        </w:rPr>
        <w:t xml:space="preserve"> Normas y Políticas de Reporto.</w:t>
      </w:r>
    </w:p>
    <w:p w:rsidR="00BF60DF" w:rsidRDefault="00BF60DF" w:rsidP="00BF60DF">
      <w:pPr>
        <w:spacing w:before="120" w:after="120" w:line="220" w:lineRule="exact"/>
        <w:rPr>
          <w:szCs w:val="17"/>
          <w:lang w:eastAsia="es-MX"/>
        </w:rPr>
      </w:pPr>
    </w:p>
    <w:p w:rsidR="00BF60DF" w:rsidRDefault="00BF60DF" w:rsidP="00BF60DF">
      <w:pPr>
        <w:spacing w:before="120" w:after="120" w:line="220" w:lineRule="exact"/>
        <w:rPr>
          <w:szCs w:val="17"/>
          <w:lang w:eastAsia="es-MX"/>
        </w:rPr>
      </w:pPr>
      <w:r w:rsidRPr="00CB7AD8">
        <w:rPr>
          <w:szCs w:val="17"/>
          <w:lang w:eastAsia="es-MX"/>
        </w:rPr>
        <w:t>OLPAIR</w:t>
      </w:r>
      <w:r>
        <w:rPr>
          <w:szCs w:val="17"/>
          <w:lang w:eastAsia="es-MX"/>
        </w:rPr>
        <w:t xml:space="preserve">: </w:t>
      </w:r>
      <w:r w:rsidRPr="00CB7AD8">
        <w:rPr>
          <w:szCs w:val="17"/>
          <w:lang w:eastAsia="es-MX"/>
        </w:rPr>
        <w:t>Objetivos, Lineamientos y Políticas de Admi</w:t>
      </w:r>
      <w:r>
        <w:rPr>
          <w:szCs w:val="17"/>
          <w:lang w:eastAsia="es-MX"/>
        </w:rPr>
        <w:t>nistración Integral de Riesgos.</w:t>
      </w:r>
    </w:p>
    <w:p w:rsidR="00BF60DF" w:rsidRDefault="00BF60DF" w:rsidP="00BF60DF">
      <w:pPr>
        <w:spacing w:before="120" w:after="120" w:line="220" w:lineRule="exact"/>
        <w:rPr>
          <w:szCs w:val="17"/>
          <w:lang w:eastAsia="es-MX"/>
        </w:rPr>
      </w:pPr>
    </w:p>
    <w:p w:rsidR="00BF60DF" w:rsidRPr="00676990" w:rsidRDefault="00BF60DF" w:rsidP="00BF60DF">
      <w:pPr>
        <w:spacing w:before="120" w:after="120" w:line="220" w:lineRule="exact"/>
        <w:rPr>
          <w:szCs w:val="17"/>
          <w:lang w:eastAsia="es-MX"/>
        </w:rPr>
      </w:pPr>
      <w:r w:rsidRPr="00676990">
        <w:rPr>
          <w:szCs w:val="17"/>
          <w:lang w:eastAsia="es-MX"/>
        </w:rPr>
        <w:t>PND: Plan Nacional de Desarrollo 2013-2018.</w:t>
      </w:r>
    </w:p>
    <w:p w:rsidR="00BF60DF" w:rsidRDefault="00BF60DF" w:rsidP="00BF60DF">
      <w:pPr>
        <w:spacing w:before="120" w:after="120" w:line="220" w:lineRule="exact"/>
        <w:rPr>
          <w:szCs w:val="17"/>
          <w:lang w:eastAsia="es-MX"/>
        </w:rPr>
      </w:pPr>
    </w:p>
    <w:p w:rsidR="00BF60DF" w:rsidRDefault="00BF60DF" w:rsidP="00BF60DF">
      <w:pPr>
        <w:spacing w:before="120" w:after="120" w:line="220" w:lineRule="exact"/>
        <w:rPr>
          <w:rFonts w:cs="ACaslonPro-Regular"/>
          <w:szCs w:val="17"/>
          <w:lang w:val="es-ES_tradnl"/>
        </w:rPr>
      </w:pPr>
      <w:r w:rsidRPr="00D37AB5">
        <w:rPr>
          <w:rFonts w:cs="ACaslonPro-Regular"/>
          <w:szCs w:val="17"/>
          <w:lang w:val="es-ES_tradnl"/>
        </w:rPr>
        <w:t>PSP</w:t>
      </w:r>
      <w:r>
        <w:rPr>
          <w:rFonts w:cs="ACaslonPro-Regular"/>
          <w:szCs w:val="17"/>
          <w:lang w:val="es-ES_tradnl"/>
        </w:rPr>
        <w:t xml:space="preserve">: </w:t>
      </w:r>
      <w:r w:rsidRPr="00D37AB5">
        <w:rPr>
          <w:rFonts w:cs="ACaslonPro-Regular"/>
          <w:szCs w:val="17"/>
          <w:lang w:val="es-ES_tradnl"/>
        </w:rPr>
        <w:t>Prestado</w:t>
      </w:r>
      <w:r>
        <w:rPr>
          <w:rFonts w:cs="ACaslonPro-Regular"/>
          <w:szCs w:val="17"/>
          <w:lang w:val="es-ES_tradnl"/>
        </w:rPr>
        <w:t>res de Servicios Profesionales.</w:t>
      </w:r>
    </w:p>
    <w:p w:rsidR="00BF60DF" w:rsidRPr="00676990" w:rsidRDefault="00BF60DF" w:rsidP="00BF60DF">
      <w:pPr>
        <w:spacing w:before="120" w:after="120" w:line="220" w:lineRule="exact"/>
        <w:rPr>
          <w:szCs w:val="17"/>
          <w:lang w:eastAsia="es-MX"/>
        </w:rPr>
      </w:pPr>
    </w:p>
    <w:p w:rsidR="00BF60DF" w:rsidRPr="00676990" w:rsidRDefault="00BF60DF" w:rsidP="00BF60DF">
      <w:pPr>
        <w:spacing w:before="120" w:after="120" w:line="220" w:lineRule="exact"/>
        <w:rPr>
          <w:szCs w:val="17"/>
          <w:lang w:eastAsia="es-MX"/>
        </w:rPr>
      </w:pPr>
      <w:r w:rsidRPr="00676990">
        <w:rPr>
          <w:szCs w:val="17"/>
          <w:lang w:eastAsia="es-MX"/>
        </w:rPr>
        <w:t>PRONAFIDE: El Programa Nacional de Financiamiento del Desarrollo 2013-2018.</w:t>
      </w:r>
    </w:p>
    <w:p w:rsidR="00BF60DF" w:rsidRPr="00676990" w:rsidRDefault="00BF60DF" w:rsidP="00BF60DF">
      <w:pPr>
        <w:spacing w:before="120" w:after="120" w:line="220" w:lineRule="exact"/>
        <w:rPr>
          <w:szCs w:val="17"/>
          <w:lang w:eastAsia="es-MX"/>
        </w:rPr>
      </w:pPr>
    </w:p>
    <w:p w:rsidR="00D73268" w:rsidRPr="00A30FF0" w:rsidRDefault="00BF60DF" w:rsidP="00BF60DF">
      <w:pPr>
        <w:spacing w:before="120" w:after="120" w:line="220" w:lineRule="exact"/>
      </w:pPr>
      <w:r w:rsidRPr="00676990">
        <w:rPr>
          <w:szCs w:val="17"/>
          <w:lang w:eastAsia="es-MX"/>
        </w:rPr>
        <w:t>SAGARPA: Secretaría de Agricultura, Ganadería, Desarro</w:t>
      </w:r>
      <w:r>
        <w:rPr>
          <w:szCs w:val="17"/>
          <w:lang w:eastAsia="es-MX"/>
        </w:rPr>
        <w:t>llo Rural, Pesca y Alimentación.</w:t>
      </w:r>
    </w:p>
    <w:sectPr w:rsidR="00D73268" w:rsidRPr="00A30FF0" w:rsidSect="00EC16CB">
      <w:footerReference w:type="even" r:id="rId27"/>
      <w:footerReference w:type="default" r:id="rId28"/>
      <w:pgSz w:w="12240" w:h="15840" w:code="1"/>
      <w:pgMar w:top="2268" w:right="1418" w:bottom="1134" w:left="1418" w:header="0" w:footer="567" w:gutter="0"/>
      <w:cols w:space="454"/>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45EA0" w:rsidRDefault="00D45EA0" w:rsidP="007C3062">
      <w:pPr>
        <w:spacing w:after="0" w:line="240" w:lineRule="auto"/>
      </w:pPr>
      <w:r>
        <w:separator/>
      </w:r>
    </w:p>
    <w:p w:rsidR="00D45EA0" w:rsidRDefault="00D45EA0"/>
  </w:endnote>
  <w:endnote w:type="continuationSeparator" w:id="0">
    <w:p w:rsidR="00D45EA0" w:rsidRDefault="00D45EA0" w:rsidP="007C3062">
      <w:pPr>
        <w:spacing w:after="0" w:line="240" w:lineRule="auto"/>
      </w:pPr>
      <w:r>
        <w:continuationSeparator/>
      </w:r>
    </w:p>
    <w:p w:rsidR="00D45EA0" w:rsidRDefault="00D45EA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oberana Sans Light">
    <w:altName w:val="Times New Roman"/>
    <w:panose1 w:val="02000000000000000000"/>
    <w:charset w:val="00"/>
    <w:family w:val="modern"/>
    <w:notTrueType/>
    <w:pitch w:val="variable"/>
    <w:sig w:usb0="800000AF" w:usb1="4000204B" w:usb2="00000000" w:usb3="00000000" w:csb0="00000001" w:csb1="00000000"/>
  </w:font>
  <w:font w:name="Verdana">
    <w:panose1 w:val="020B0604030504040204"/>
    <w:charset w:val="00"/>
    <w:family w:val="swiss"/>
    <w:pitch w:val="variable"/>
    <w:sig w:usb0="A10006FF" w:usb1="4000205B" w:usb2="00000010" w:usb3="00000000" w:csb0="0000019F" w:csb1="00000000"/>
  </w:font>
  <w:font w:name="Presidencia Fina">
    <w:altName w:val="CatholicSchoolGirls Intl BB"/>
    <w:panose1 w:val="00000000000000000000"/>
    <w:charset w:val="00"/>
    <w:family w:val="modern"/>
    <w:notTrueType/>
    <w:pitch w:val="variable"/>
    <w:sig w:usb0="00000003" w:usb1="4000004A" w:usb2="00000000" w:usb3="00000000" w:csb0="00000001" w:csb1="00000000"/>
  </w:font>
  <w:font w:name="Tahoma">
    <w:panose1 w:val="020B0604030504040204"/>
    <w:charset w:val="00"/>
    <w:family w:val="swiss"/>
    <w:pitch w:val="variable"/>
    <w:sig w:usb0="E1002EFF" w:usb1="C000605B" w:usb2="00000029" w:usb3="00000000" w:csb0="000101FF" w:csb1="00000000"/>
  </w:font>
  <w:font w:name="Soberana Sans">
    <w:altName w:val="Times New Roman"/>
    <w:panose1 w:val="02000000000000000000"/>
    <w:charset w:val="00"/>
    <w:family w:val="modern"/>
    <w:notTrueType/>
    <w:pitch w:val="variable"/>
    <w:sig w:usb0="800000AF" w:usb1="4000204B" w:usb2="00000000" w:usb3="00000000" w:csb0="00000001" w:csb1="00000000"/>
  </w:font>
  <w:font w:name="ACaslonPro-Regular">
    <w:panose1 w:val="00000000000000000000"/>
    <w:charset w:val="00"/>
    <w:family w:val="auto"/>
    <w:notTrueType/>
    <w:pitch w:val="default"/>
    <w:sig w:usb0="00000003" w:usb1="00000000" w:usb2="00000000" w:usb3="00000000" w:csb0="00000001" w:csb1="00000000"/>
  </w:font>
  <w:font w:name="SymbolMT">
    <w:altName w:val="Arial Unicode MS"/>
    <w:panose1 w:val="00000000000000000000"/>
    <w:charset w:val="88"/>
    <w:family w:val="auto"/>
    <w:notTrueType/>
    <w:pitch w:val="default"/>
    <w:sig w:usb0="00000003" w:usb1="08080000" w:usb2="00000010" w:usb3="00000000" w:csb0="00100001" w:csb1="00000000"/>
  </w:font>
  <w:font w:name="ACaslonPro-Bold">
    <w:altName w:val="Times New Roman"/>
    <w:panose1 w:val="00000000000000000000"/>
    <w:charset w:val="00"/>
    <w:family w:val="roman"/>
    <w:notTrueType/>
    <w:pitch w:val="default"/>
  </w:font>
  <w:font w:name="Arial">
    <w:panose1 w:val="020B0604020202020204"/>
    <w:charset w:val="00"/>
    <w:family w:val="swiss"/>
    <w:pitch w:val="variable"/>
    <w:sig w:usb0="E0002AFF" w:usb1="C0007843" w:usb2="00000009" w:usb3="00000000" w:csb0="000001FF" w:csb1="00000000"/>
  </w:font>
  <w:font w:name="Soberana Titular">
    <w:altName w:val="Times New Roman"/>
    <w:panose1 w:val="02000000000000000000"/>
    <w:charset w:val="00"/>
    <w:family w:val="modern"/>
    <w:notTrueType/>
    <w:pitch w:val="variable"/>
    <w:sig w:usb0="800000AF" w:usb1="4000204A" w:usb2="00000000" w:usb3="00000000" w:csb0="00000001"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A0439" w:rsidRPr="0061519D" w:rsidRDefault="009A0439" w:rsidP="000F2565">
    <w:pPr>
      <w:framePr w:w="303" w:h="262" w:hRule="exact" w:wrap="around" w:vAnchor="text" w:hAnchor="page" w:xAlign="center" w:y="253"/>
      <w:jc w:val="center"/>
      <w:rPr>
        <w:rStyle w:val="Nmerodepgina"/>
        <w:rFonts w:ascii="Soberana Titular" w:hAnsi="Soberana Titular"/>
        <w:sz w:val="18"/>
        <w:szCs w:val="18"/>
      </w:rPr>
    </w:pPr>
    <w:r w:rsidRPr="0061519D">
      <w:rPr>
        <w:rStyle w:val="Nmerodepgina"/>
        <w:rFonts w:ascii="Soberana Titular" w:hAnsi="Soberana Titular"/>
        <w:sz w:val="18"/>
        <w:szCs w:val="18"/>
      </w:rPr>
      <w:fldChar w:fldCharType="begin"/>
    </w:r>
    <w:r w:rsidRPr="0061519D">
      <w:rPr>
        <w:rStyle w:val="Nmerodepgina"/>
        <w:rFonts w:ascii="Soberana Titular" w:hAnsi="Soberana Titular"/>
        <w:sz w:val="18"/>
        <w:szCs w:val="18"/>
      </w:rPr>
      <w:instrText xml:space="preserve">PAGE  </w:instrText>
    </w:r>
    <w:r w:rsidRPr="0061519D">
      <w:rPr>
        <w:rStyle w:val="Nmerodepgina"/>
        <w:rFonts w:ascii="Soberana Titular" w:hAnsi="Soberana Titular"/>
        <w:sz w:val="18"/>
        <w:szCs w:val="18"/>
      </w:rPr>
      <w:fldChar w:fldCharType="separate"/>
    </w:r>
    <w:r w:rsidR="00CD4828">
      <w:rPr>
        <w:rStyle w:val="Nmerodepgina"/>
        <w:rFonts w:ascii="Soberana Titular" w:hAnsi="Soberana Titular"/>
        <w:noProof/>
        <w:sz w:val="18"/>
        <w:szCs w:val="18"/>
      </w:rPr>
      <w:t>2</w:t>
    </w:r>
    <w:r w:rsidRPr="0061519D">
      <w:rPr>
        <w:rStyle w:val="Nmerodepgina"/>
        <w:rFonts w:ascii="Soberana Titular" w:hAnsi="Soberana Titular"/>
        <w:sz w:val="18"/>
        <w:szCs w:val="18"/>
      </w:rPr>
      <w:fldChar w:fldCharType="end"/>
    </w:r>
  </w:p>
  <w:p w:rsidR="009A0439" w:rsidRDefault="009A0439"/>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A0439" w:rsidRPr="0061519D" w:rsidRDefault="009A0439" w:rsidP="0093362F">
    <w:pPr>
      <w:framePr w:w="377" w:h="306" w:hRule="exact" w:wrap="around" w:vAnchor="text" w:hAnchor="page" w:xAlign="center" w:y="200"/>
      <w:jc w:val="center"/>
      <w:rPr>
        <w:rStyle w:val="Nmerodepgina"/>
        <w:rFonts w:ascii="Soberana Titular" w:hAnsi="Soberana Titular"/>
        <w:sz w:val="18"/>
        <w:szCs w:val="18"/>
      </w:rPr>
    </w:pPr>
    <w:r w:rsidRPr="0061519D">
      <w:rPr>
        <w:rStyle w:val="Nmerodepgina"/>
        <w:rFonts w:ascii="Soberana Titular" w:hAnsi="Soberana Titular"/>
        <w:sz w:val="18"/>
        <w:szCs w:val="18"/>
      </w:rPr>
      <w:fldChar w:fldCharType="begin"/>
    </w:r>
    <w:r w:rsidRPr="0061519D">
      <w:rPr>
        <w:rStyle w:val="Nmerodepgina"/>
        <w:rFonts w:ascii="Soberana Titular" w:hAnsi="Soberana Titular"/>
        <w:sz w:val="18"/>
        <w:szCs w:val="18"/>
      </w:rPr>
      <w:instrText xml:space="preserve">PAGE  </w:instrText>
    </w:r>
    <w:r w:rsidRPr="0061519D">
      <w:rPr>
        <w:rStyle w:val="Nmerodepgina"/>
        <w:rFonts w:ascii="Soberana Titular" w:hAnsi="Soberana Titular"/>
        <w:sz w:val="18"/>
        <w:szCs w:val="18"/>
      </w:rPr>
      <w:fldChar w:fldCharType="separate"/>
    </w:r>
    <w:r w:rsidR="00CD4828">
      <w:rPr>
        <w:rStyle w:val="Nmerodepgina"/>
        <w:rFonts w:ascii="Soberana Titular" w:hAnsi="Soberana Titular"/>
        <w:noProof/>
        <w:sz w:val="18"/>
        <w:szCs w:val="18"/>
      </w:rPr>
      <w:t>3</w:t>
    </w:r>
    <w:r w:rsidRPr="0061519D">
      <w:rPr>
        <w:rStyle w:val="Nmerodepgina"/>
        <w:rFonts w:ascii="Soberana Titular" w:hAnsi="Soberana Titular"/>
        <w:sz w:val="18"/>
        <w:szCs w:val="18"/>
      </w:rPr>
      <w:fldChar w:fldCharType="end"/>
    </w:r>
  </w:p>
  <w:p w:rsidR="009A0439" w:rsidRDefault="009A0439"/>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A0439" w:rsidRPr="0061519D" w:rsidRDefault="009A0439" w:rsidP="000F6ADC">
    <w:pPr>
      <w:framePr w:w="377" w:h="306" w:hRule="exact" w:wrap="around" w:vAnchor="text" w:hAnchor="page" w:xAlign="center" w:y="1"/>
      <w:jc w:val="center"/>
      <w:rPr>
        <w:rStyle w:val="Nmerodepgina"/>
        <w:rFonts w:ascii="Soberana Titular" w:hAnsi="Soberana Titular"/>
        <w:sz w:val="18"/>
        <w:szCs w:val="18"/>
      </w:rPr>
    </w:pPr>
    <w:r w:rsidRPr="0061519D">
      <w:rPr>
        <w:rStyle w:val="Nmerodepgina"/>
        <w:rFonts w:ascii="Soberana Titular" w:hAnsi="Soberana Titular"/>
        <w:sz w:val="18"/>
        <w:szCs w:val="18"/>
      </w:rPr>
      <w:fldChar w:fldCharType="begin"/>
    </w:r>
    <w:r w:rsidRPr="0061519D">
      <w:rPr>
        <w:rStyle w:val="Nmerodepgina"/>
        <w:rFonts w:ascii="Soberana Titular" w:hAnsi="Soberana Titular"/>
        <w:sz w:val="18"/>
        <w:szCs w:val="18"/>
      </w:rPr>
      <w:instrText xml:space="preserve">PAGE  </w:instrText>
    </w:r>
    <w:r w:rsidRPr="0061519D">
      <w:rPr>
        <w:rStyle w:val="Nmerodepgina"/>
        <w:rFonts w:ascii="Soberana Titular" w:hAnsi="Soberana Titular"/>
        <w:sz w:val="18"/>
        <w:szCs w:val="18"/>
      </w:rPr>
      <w:fldChar w:fldCharType="separate"/>
    </w:r>
    <w:r w:rsidR="00CD4828">
      <w:rPr>
        <w:rStyle w:val="Nmerodepgina"/>
        <w:rFonts w:ascii="Soberana Titular" w:hAnsi="Soberana Titular"/>
        <w:noProof/>
        <w:sz w:val="18"/>
        <w:szCs w:val="18"/>
      </w:rPr>
      <w:t>6</w:t>
    </w:r>
    <w:r w:rsidRPr="0061519D">
      <w:rPr>
        <w:rStyle w:val="Nmerodepgina"/>
        <w:rFonts w:ascii="Soberana Titular" w:hAnsi="Soberana Titular"/>
        <w:sz w:val="18"/>
        <w:szCs w:val="18"/>
      </w:rPr>
      <w:fldChar w:fldCharType="end"/>
    </w:r>
  </w:p>
  <w:p w:rsidR="009A0439" w:rsidRDefault="009A0439">
    <w:pPr>
      <w:pStyle w:val="Piedepgina"/>
    </w:pPr>
  </w:p>
  <w:p w:rsidR="009A0439" w:rsidRDefault="009A0439"/>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A0439" w:rsidRPr="0061519D" w:rsidRDefault="009A0439" w:rsidP="004C4071">
    <w:pPr>
      <w:framePr w:w="377" w:h="306" w:hRule="exact" w:wrap="around" w:vAnchor="text" w:hAnchor="page" w:x="5986" w:y="249"/>
      <w:jc w:val="center"/>
      <w:rPr>
        <w:rStyle w:val="Nmerodepgina"/>
        <w:rFonts w:ascii="Soberana Titular" w:hAnsi="Soberana Titular"/>
        <w:sz w:val="18"/>
        <w:szCs w:val="18"/>
      </w:rPr>
    </w:pPr>
    <w:r w:rsidRPr="0061519D">
      <w:rPr>
        <w:rStyle w:val="Nmerodepgina"/>
        <w:rFonts w:ascii="Soberana Titular" w:hAnsi="Soberana Titular"/>
        <w:sz w:val="18"/>
        <w:szCs w:val="18"/>
      </w:rPr>
      <w:fldChar w:fldCharType="begin"/>
    </w:r>
    <w:r w:rsidRPr="0061519D">
      <w:rPr>
        <w:rStyle w:val="Nmerodepgina"/>
        <w:rFonts w:ascii="Soberana Titular" w:hAnsi="Soberana Titular"/>
        <w:sz w:val="18"/>
        <w:szCs w:val="18"/>
      </w:rPr>
      <w:instrText xml:space="preserve">PAGE  </w:instrText>
    </w:r>
    <w:r w:rsidRPr="0061519D">
      <w:rPr>
        <w:rStyle w:val="Nmerodepgina"/>
        <w:rFonts w:ascii="Soberana Titular" w:hAnsi="Soberana Titular"/>
        <w:sz w:val="18"/>
        <w:szCs w:val="18"/>
      </w:rPr>
      <w:fldChar w:fldCharType="separate"/>
    </w:r>
    <w:r w:rsidR="00CD4828">
      <w:rPr>
        <w:rStyle w:val="Nmerodepgina"/>
        <w:rFonts w:ascii="Soberana Titular" w:hAnsi="Soberana Titular"/>
        <w:noProof/>
        <w:sz w:val="18"/>
        <w:szCs w:val="18"/>
      </w:rPr>
      <w:t>7</w:t>
    </w:r>
    <w:r w:rsidRPr="0061519D">
      <w:rPr>
        <w:rStyle w:val="Nmerodepgina"/>
        <w:rFonts w:ascii="Soberana Titular" w:hAnsi="Soberana Titular"/>
        <w:sz w:val="18"/>
        <w:szCs w:val="18"/>
      </w:rPr>
      <w:fldChar w:fldCharType="end"/>
    </w:r>
  </w:p>
  <w:p w:rsidR="009A0439" w:rsidRDefault="009A0439"/>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A0439" w:rsidRPr="0061519D" w:rsidRDefault="009A0439" w:rsidP="000F2565">
    <w:pPr>
      <w:framePr w:w="303" w:h="262" w:hRule="exact" w:wrap="around" w:vAnchor="text" w:hAnchor="page" w:xAlign="center" w:y="253"/>
      <w:jc w:val="center"/>
      <w:rPr>
        <w:rStyle w:val="Nmerodepgina"/>
        <w:rFonts w:ascii="Soberana Titular" w:hAnsi="Soberana Titular"/>
        <w:sz w:val="18"/>
        <w:szCs w:val="18"/>
      </w:rPr>
    </w:pPr>
    <w:r w:rsidRPr="0061519D">
      <w:rPr>
        <w:rStyle w:val="Nmerodepgina"/>
        <w:rFonts w:ascii="Soberana Titular" w:hAnsi="Soberana Titular"/>
        <w:sz w:val="18"/>
        <w:szCs w:val="18"/>
      </w:rPr>
      <w:fldChar w:fldCharType="begin"/>
    </w:r>
    <w:r w:rsidRPr="0061519D">
      <w:rPr>
        <w:rStyle w:val="Nmerodepgina"/>
        <w:rFonts w:ascii="Soberana Titular" w:hAnsi="Soberana Titular"/>
        <w:sz w:val="18"/>
        <w:szCs w:val="18"/>
      </w:rPr>
      <w:instrText xml:space="preserve">PAGE  </w:instrText>
    </w:r>
    <w:r w:rsidRPr="0061519D">
      <w:rPr>
        <w:rStyle w:val="Nmerodepgina"/>
        <w:rFonts w:ascii="Soberana Titular" w:hAnsi="Soberana Titular"/>
        <w:sz w:val="18"/>
        <w:szCs w:val="18"/>
      </w:rPr>
      <w:fldChar w:fldCharType="separate"/>
    </w:r>
    <w:r w:rsidR="00CD4828">
      <w:rPr>
        <w:rStyle w:val="Nmerodepgina"/>
        <w:rFonts w:ascii="Soberana Titular" w:hAnsi="Soberana Titular"/>
        <w:noProof/>
        <w:sz w:val="18"/>
        <w:szCs w:val="18"/>
      </w:rPr>
      <w:t>10</w:t>
    </w:r>
    <w:r w:rsidRPr="0061519D">
      <w:rPr>
        <w:rStyle w:val="Nmerodepgina"/>
        <w:rFonts w:ascii="Soberana Titular" w:hAnsi="Soberana Titular"/>
        <w:sz w:val="18"/>
        <w:szCs w:val="18"/>
      </w:rPr>
      <w:fldChar w:fldCharType="end"/>
    </w:r>
  </w:p>
  <w:p w:rsidR="009A0439" w:rsidRDefault="009A0439"/>
</w:ftr>
</file>

<file path=word/footer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A0439" w:rsidRPr="0061519D" w:rsidRDefault="009A0439" w:rsidP="004C4071">
    <w:pPr>
      <w:framePr w:w="377" w:h="306" w:hRule="exact" w:wrap="around" w:vAnchor="text" w:hAnchor="page" w:x="5986" w:y="249"/>
      <w:jc w:val="center"/>
      <w:rPr>
        <w:rStyle w:val="Nmerodepgina"/>
        <w:rFonts w:ascii="Soberana Titular" w:hAnsi="Soberana Titular"/>
        <w:sz w:val="18"/>
        <w:szCs w:val="18"/>
      </w:rPr>
    </w:pPr>
    <w:r w:rsidRPr="0061519D">
      <w:rPr>
        <w:rStyle w:val="Nmerodepgina"/>
        <w:rFonts w:ascii="Soberana Titular" w:hAnsi="Soberana Titular"/>
        <w:sz w:val="18"/>
        <w:szCs w:val="18"/>
      </w:rPr>
      <w:fldChar w:fldCharType="begin"/>
    </w:r>
    <w:r w:rsidRPr="0061519D">
      <w:rPr>
        <w:rStyle w:val="Nmerodepgina"/>
        <w:rFonts w:ascii="Soberana Titular" w:hAnsi="Soberana Titular"/>
        <w:sz w:val="18"/>
        <w:szCs w:val="18"/>
      </w:rPr>
      <w:instrText xml:space="preserve">PAGE  </w:instrText>
    </w:r>
    <w:r w:rsidRPr="0061519D">
      <w:rPr>
        <w:rStyle w:val="Nmerodepgina"/>
        <w:rFonts w:ascii="Soberana Titular" w:hAnsi="Soberana Titular"/>
        <w:sz w:val="18"/>
        <w:szCs w:val="18"/>
      </w:rPr>
      <w:fldChar w:fldCharType="separate"/>
    </w:r>
    <w:r w:rsidR="00CD4828">
      <w:rPr>
        <w:rStyle w:val="Nmerodepgina"/>
        <w:rFonts w:ascii="Soberana Titular" w:hAnsi="Soberana Titular"/>
        <w:noProof/>
        <w:sz w:val="18"/>
        <w:szCs w:val="18"/>
      </w:rPr>
      <w:t>9</w:t>
    </w:r>
    <w:r w:rsidRPr="0061519D">
      <w:rPr>
        <w:rStyle w:val="Nmerodepgina"/>
        <w:rFonts w:ascii="Soberana Titular" w:hAnsi="Soberana Titular"/>
        <w:sz w:val="18"/>
        <w:szCs w:val="18"/>
      </w:rPr>
      <w:fldChar w:fldCharType="end"/>
    </w:r>
  </w:p>
  <w:p w:rsidR="009A0439" w:rsidRDefault="009A0439"/>
</w:ftr>
</file>

<file path=word/footer7.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A0439" w:rsidRPr="0061519D" w:rsidRDefault="009A0439" w:rsidP="000F2565">
    <w:pPr>
      <w:framePr w:w="303" w:h="262" w:hRule="exact" w:wrap="around" w:vAnchor="text" w:hAnchor="page" w:xAlign="center" w:y="253"/>
      <w:jc w:val="center"/>
      <w:rPr>
        <w:rStyle w:val="Nmerodepgina"/>
        <w:rFonts w:ascii="Soberana Titular" w:hAnsi="Soberana Titular"/>
        <w:sz w:val="18"/>
        <w:szCs w:val="18"/>
      </w:rPr>
    </w:pPr>
    <w:r w:rsidRPr="0061519D">
      <w:rPr>
        <w:rStyle w:val="Nmerodepgina"/>
        <w:rFonts w:ascii="Soberana Titular" w:hAnsi="Soberana Titular"/>
        <w:sz w:val="18"/>
        <w:szCs w:val="18"/>
      </w:rPr>
      <w:fldChar w:fldCharType="begin"/>
    </w:r>
    <w:r w:rsidRPr="0061519D">
      <w:rPr>
        <w:rStyle w:val="Nmerodepgina"/>
        <w:rFonts w:ascii="Soberana Titular" w:hAnsi="Soberana Titular"/>
        <w:sz w:val="18"/>
        <w:szCs w:val="18"/>
      </w:rPr>
      <w:instrText xml:space="preserve">PAGE  </w:instrText>
    </w:r>
    <w:r w:rsidRPr="0061519D">
      <w:rPr>
        <w:rStyle w:val="Nmerodepgina"/>
        <w:rFonts w:ascii="Soberana Titular" w:hAnsi="Soberana Titular"/>
        <w:sz w:val="18"/>
        <w:szCs w:val="18"/>
      </w:rPr>
      <w:fldChar w:fldCharType="separate"/>
    </w:r>
    <w:r w:rsidR="00CD4828">
      <w:rPr>
        <w:rStyle w:val="Nmerodepgina"/>
        <w:rFonts w:ascii="Soberana Titular" w:hAnsi="Soberana Titular"/>
        <w:noProof/>
        <w:sz w:val="18"/>
        <w:szCs w:val="18"/>
      </w:rPr>
      <w:t>14</w:t>
    </w:r>
    <w:r w:rsidRPr="0061519D">
      <w:rPr>
        <w:rStyle w:val="Nmerodepgina"/>
        <w:rFonts w:ascii="Soberana Titular" w:hAnsi="Soberana Titular"/>
        <w:sz w:val="18"/>
        <w:szCs w:val="18"/>
      </w:rPr>
      <w:fldChar w:fldCharType="end"/>
    </w:r>
  </w:p>
  <w:p w:rsidR="009A0439" w:rsidRDefault="009A0439"/>
</w:ftr>
</file>

<file path=word/footer8.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A0439" w:rsidRPr="0061519D" w:rsidRDefault="009A0439" w:rsidP="004C4071">
    <w:pPr>
      <w:framePr w:w="377" w:h="306" w:hRule="exact" w:wrap="around" w:vAnchor="text" w:hAnchor="page" w:x="5986" w:y="249"/>
      <w:jc w:val="center"/>
      <w:rPr>
        <w:rStyle w:val="Nmerodepgina"/>
        <w:rFonts w:ascii="Soberana Titular" w:hAnsi="Soberana Titular"/>
        <w:sz w:val="18"/>
        <w:szCs w:val="18"/>
      </w:rPr>
    </w:pPr>
    <w:r w:rsidRPr="0061519D">
      <w:rPr>
        <w:rStyle w:val="Nmerodepgina"/>
        <w:rFonts w:ascii="Soberana Titular" w:hAnsi="Soberana Titular"/>
        <w:sz w:val="18"/>
        <w:szCs w:val="18"/>
      </w:rPr>
      <w:fldChar w:fldCharType="begin"/>
    </w:r>
    <w:r w:rsidRPr="0061519D">
      <w:rPr>
        <w:rStyle w:val="Nmerodepgina"/>
        <w:rFonts w:ascii="Soberana Titular" w:hAnsi="Soberana Titular"/>
        <w:sz w:val="18"/>
        <w:szCs w:val="18"/>
      </w:rPr>
      <w:instrText xml:space="preserve">PAGE  </w:instrText>
    </w:r>
    <w:r w:rsidRPr="0061519D">
      <w:rPr>
        <w:rStyle w:val="Nmerodepgina"/>
        <w:rFonts w:ascii="Soberana Titular" w:hAnsi="Soberana Titular"/>
        <w:sz w:val="18"/>
        <w:szCs w:val="18"/>
      </w:rPr>
      <w:fldChar w:fldCharType="separate"/>
    </w:r>
    <w:r w:rsidR="00CD4828">
      <w:rPr>
        <w:rStyle w:val="Nmerodepgina"/>
        <w:rFonts w:ascii="Soberana Titular" w:hAnsi="Soberana Titular"/>
        <w:noProof/>
        <w:sz w:val="18"/>
        <w:szCs w:val="18"/>
      </w:rPr>
      <w:t>15</w:t>
    </w:r>
    <w:r w:rsidRPr="0061519D">
      <w:rPr>
        <w:rStyle w:val="Nmerodepgina"/>
        <w:rFonts w:ascii="Soberana Titular" w:hAnsi="Soberana Titular"/>
        <w:sz w:val="18"/>
        <w:szCs w:val="18"/>
      </w:rPr>
      <w:fldChar w:fldCharType="end"/>
    </w:r>
  </w:p>
  <w:p w:rsidR="009A0439" w:rsidRDefault="009A0439"/>
</w:ftr>
</file>

<file path=word/footer9.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A0439" w:rsidRPr="0061519D" w:rsidRDefault="009A0439" w:rsidP="000F6ADC">
    <w:pPr>
      <w:framePr w:w="303" w:h="262" w:hRule="exact" w:wrap="around" w:vAnchor="text" w:hAnchor="page" w:x="5962" w:y="157"/>
      <w:jc w:val="center"/>
      <w:rPr>
        <w:rStyle w:val="Nmerodepgina"/>
        <w:rFonts w:ascii="Soberana Titular" w:hAnsi="Soberana Titular"/>
        <w:sz w:val="18"/>
        <w:szCs w:val="18"/>
      </w:rPr>
    </w:pPr>
    <w:r w:rsidRPr="0061519D">
      <w:rPr>
        <w:rStyle w:val="Nmerodepgina"/>
        <w:rFonts w:ascii="Soberana Titular" w:hAnsi="Soberana Titular"/>
        <w:sz w:val="18"/>
        <w:szCs w:val="18"/>
      </w:rPr>
      <w:fldChar w:fldCharType="begin"/>
    </w:r>
    <w:r w:rsidRPr="0061519D">
      <w:rPr>
        <w:rStyle w:val="Nmerodepgina"/>
        <w:rFonts w:ascii="Soberana Titular" w:hAnsi="Soberana Titular"/>
        <w:sz w:val="18"/>
        <w:szCs w:val="18"/>
      </w:rPr>
      <w:instrText xml:space="preserve">PAGE  </w:instrText>
    </w:r>
    <w:r w:rsidRPr="0061519D">
      <w:rPr>
        <w:rStyle w:val="Nmerodepgina"/>
        <w:rFonts w:ascii="Soberana Titular" w:hAnsi="Soberana Titular"/>
        <w:sz w:val="18"/>
        <w:szCs w:val="18"/>
      </w:rPr>
      <w:fldChar w:fldCharType="separate"/>
    </w:r>
    <w:r w:rsidR="00CD4828">
      <w:rPr>
        <w:rStyle w:val="Nmerodepgina"/>
        <w:rFonts w:ascii="Soberana Titular" w:hAnsi="Soberana Titular"/>
        <w:noProof/>
        <w:sz w:val="18"/>
        <w:szCs w:val="18"/>
      </w:rPr>
      <w:t>20</w:t>
    </w:r>
    <w:r w:rsidRPr="0061519D">
      <w:rPr>
        <w:rStyle w:val="Nmerodepgina"/>
        <w:rFonts w:ascii="Soberana Titular" w:hAnsi="Soberana Titular"/>
        <w:sz w:val="18"/>
        <w:szCs w:val="18"/>
      </w:rPr>
      <w:fldChar w:fldCharType="end"/>
    </w:r>
  </w:p>
  <w:p w:rsidR="009A0439" w:rsidRDefault="009A0439" w:rsidP="000F6ADC"/>
</w:ftr>
</file>

<file path=word/footer10.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A0439" w:rsidRPr="0061519D" w:rsidRDefault="009A0439" w:rsidP="004C4071">
    <w:pPr>
      <w:framePr w:w="377" w:h="306" w:hRule="exact" w:wrap="around" w:vAnchor="text" w:hAnchor="page" w:x="5986" w:y="249"/>
      <w:jc w:val="center"/>
      <w:rPr>
        <w:rStyle w:val="Nmerodepgina"/>
        <w:rFonts w:ascii="Soberana Titular" w:hAnsi="Soberana Titular"/>
        <w:sz w:val="18"/>
        <w:szCs w:val="18"/>
      </w:rPr>
    </w:pPr>
    <w:r w:rsidRPr="0061519D">
      <w:rPr>
        <w:rStyle w:val="Nmerodepgina"/>
        <w:rFonts w:ascii="Soberana Titular" w:hAnsi="Soberana Titular"/>
        <w:sz w:val="18"/>
        <w:szCs w:val="18"/>
      </w:rPr>
      <w:fldChar w:fldCharType="begin"/>
    </w:r>
    <w:r w:rsidRPr="0061519D">
      <w:rPr>
        <w:rStyle w:val="Nmerodepgina"/>
        <w:rFonts w:ascii="Soberana Titular" w:hAnsi="Soberana Titular"/>
        <w:sz w:val="18"/>
        <w:szCs w:val="18"/>
      </w:rPr>
      <w:instrText xml:space="preserve">PAGE  </w:instrText>
    </w:r>
    <w:r w:rsidRPr="0061519D">
      <w:rPr>
        <w:rStyle w:val="Nmerodepgina"/>
        <w:rFonts w:ascii="Soberana Titular" w:hAnsi="Soberana Titular"/>
        <w:sz w:val="18"/>
        <w:szCs w:val="18"/>
      </w:rPr>
      <w:fldChar w:fldCharType="separate"/>
    </w:r>
    <w:r w:rsidR="00CD4828">
      <w:rPr>
        <w:rStyle w:val="Nmerodepgina"/>
        <w:rFonts w:ascii="Soberana Titular" w:hAnsi="Soberana Titular"/>
        <w:noProof/>
        <w:sz w:val="18"/>
        <w:szCs w:val="18"/>
      </w:rPr>
      <w:t>19</w:t>
    </w:r>
    <w:r w:rsidRPr="0061519D">
      <w:rPr>
        <w:rStyle w:val="Nmerodepgina"/>
        <w:rFonts w:ascii="Soberana Titular" w:hAnsi="Soberana Titular"/>
        <w:sz w:val="18"/>
        <w:szCs w:val="18"/>
      </w:rPr>
      <w:fldChar w:fldCharType="end"/>
    </w:r>
  </w:p>
  <w:p w:rsidR="009A0439" w:rsidRDefault="009A0439"/>
</w:ftr>
</file>

<file path=word/footer1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A0439" w:rsidRPr="0061519D" w:rsidRDefault="009A0439" w:rsidP="000F2565">
    <w:pPr>
      <w:framePr w:w="303" w:h="262" w:hRule="exact" w:wrap="around" w:vAnchor="text" w:hAnchor="page" w:xAlign="center" w:y="253"/>
      <w:jc w:val="center"/>
      <w:rPr>
        <w:rStyle w:val="Nmerodepgina"/>
        <w:rFonts w:ascii="Soberana Titular" w:hAnsi="Soberana Titular"/>
        <w:sz w:val="18"/>
        <w:szCs w:val="18"/>
      </w:rPr>
    </w:pPr>
    <w:r w:rsidRPr="0061519D">
      <w:rPr>
        <w:rStyle w:val="Nmerodepgina"/>
        <w:rFonts w:ascii="Soberana Titular" w:hAnsi="Soberana Titular"/>
        <w:sz w:val="18"/>
        <w:szCs w:val="18"/>
      </w:rPr>
      <w:fldChar w:fldCharType="begin"/>
    </w:r>
    <w:r w:rsidRPr="0061519D">
      <w:rPr>
        <w:rStyle w:val="Nmerodepgina"/>
        <w:rFonts w:ascii="Soberana Titular" w:hAnsi="Soberana Titular"/>
        <w:sz w:val="18"/>
        <w:szCs w:val="18"/>
      </w:rPr>
      <w:instrText xml:space="preserve">PAGE  </w:instrText>
    </w:r>
    <w:r w:rsidRPr="0061519D">
      <w:rPr>
        <w:rStyle w:val="Nmerodepgina"/>
        <w:rFonts w:ascii="Soberana Titular" w:hAnsi="Soberana Titular"/>
        <w:sz w:val="18"/>
        <w:szCs w:val="18"/>
      </w:rPr>
      <w:fldChar w:fldCharType="separate"/>
    </w:r>
    <w:r w:rsidR="00CD4828">
      <w:rPr>
        <w:rStyle w:val="Nmerodepgina"/>
        <w:rFonts w:ascii="Soberana Titular" w:hAnsi="Soberana Titular"/>
        <w:noProof/>
        <w:sz w:val="18"/>
        <w:szCs w:val="18"/>
      </w:rPr>
      <w:t>22</w:t>
    </w:r>
    <w:r w:rsidRPr="0061519D">
      <w:rPr>
        <w:rStyle w:val="Nmerodepgina"/>
        <w:rFonts w:ascii="Soberana Titular" w:hAnsi="Soberana Titular"/>
        <w:sz w:val="18"/>
        <w:szCs w:val="18"/>
      </w:rPr>
      <w:fldChar w:fldCharType="end"/>
    </w:r>
  </w:p>
  <w:p w:rsidR="009A0439" w:rsidRDefault="009A0439"/>
</w:ftr>
</file>

<file path=word/footer1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A0439" w:rsidRPr="0061519D" w:rsidRDefault="009A0439" w:rsidP="004C4071">
    <w:pPr>
      <w:framePr w:w="377" w:h="306" w:hRule="exact" w:wrap="around" w:vAnchor="text" w:hAnchor="page" w:x="5986" w:y="249"/>
      <w:jc w:val="center"/>
      <w:rPr>
        <w:rStyle w:val="Nmerodepgina"/>
        <w:rFonts w:ascii="Soberana Titular" w:hAnsi="Soberana Titular"/>
        <w:sz w:val="18"/>
        <w:szCs w:val="18"/>
      </w:rPr>
    </w:pPr>
    <w:r w:rsidRPr="0061519D">
      <w:rPr>
        <w:rStyle w:val="Nmerodepgina"/>
        <w:rFonts w:ascii="Soberana Titular" w:hAnsi="Soberana Titular"/>
        <w:sz w:val="18"/>
        <w:szCs w:val="18"/>
      </w:rPr>
      <w:fldChar w:fldCharType="begin"/>
    </w:r>
    <w:r w:rsidRPr="0061519D">
      <w:rPr>
        <w:rStyle w:val="Nmerodepgina"/>
        <w:rFonts w:ascii="Soberana Titular" w:hAnsi="Soberana Titular"/>
        <w:sz w:val="18"/>
        <w:szCs w:val="18"/>
      </w:rPr>
      <w:instrText xml:space="preserve">PAGE  </w:instrText>
    </w:r>
    <w:r w:rsidRPr="0061519D">
      <w:rPr>
        <w:rStyle w:val="Nmerodepgina"/>
        <w:rFonts w:ascii="Soberana Titular" w:hAnsi="Soberana Titular"/>
        <w:sz w:val="18"/>
        <w:szCs w:val="18"/>
      </w:rPr>
      <w:fldChar w:fldCharType="separate"/>
    </w:r>
    <w:r w:rsidR="00CD4828">
      <w:rPr>
        <w:rStyle w:val="Nmerodepgina"/>
        <w:rFonts w:ascii="Soberana Titular" w:hAnsi="Soberana Titular"/>
        <w:noProof/>
        <w:sz w:val="18"/>
        <w:szCs w:val="18"/>
      </w:rPr>
      <w:t>23</w:t>
    </w:r>
    <w:r w:rsidRPr="0061519D">
      <w:rPr>
        <w:rStyle w:val="Nmerodepgina"/>
        <w:rFonts w:ascii="Soberana Titular" w:hAnsi="Soberana Titular"/>
        <w:sz w:val="18"/>
        <w:szCs w:val="18"/>
      </w:rPr>
      <w:fldChar w:fldCharType="end"/>
    </w:r>
  </w:p>
  <w:p w:rsidR="009A0439" w:rsidRDefault="009A0439"/>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45EA0" w:rsidRDefault="00D45EA0" w:rsidP="007C3062">
      <w:pPr>
        <w:spacing w:after="0" w:line="240" w:lineRule="auto"/>
      </w:pPr>
      <w:r>
        <w:separator/>
      </w:r>
    </w:p>
  </w:footnote>
  <w:footnote w:type="continuationSeparator" w:id="0">
    <w:p w:rsidR="00D45EA0" w:rsidRDefault="00D45EA0" w:rsidP="007C3062">
      <w:pPr>
        <w:spacing w:after="0" w:line="240" w:lineRule="auto"/>
      </w:pPr>
      <w:r>
        <w:continuationSeparator/>
      </w:r>
    </w:p>
    <w:p w:rsidR="00D45EA0" w:rsidRDefault="00D45EA0"/>
  </w:footnote>
  <w:footnote w:id="1">
    <w:p w:rsidR="009A0439" w:rsidRDefault="009A0439" w:rsidP="00BD4351">
      <w:pPr>
        <w:pStyle w:val="Textonotapie"/>
      </w:pPr>
      <w:r>
        <w:rPr>
          <w:rStyle w:val="Refdenotaalpie"/>
        </w:rPr>
        <w:footnoteRef/>
      </w:r>
      <w:r>
        <w:t xml:space="preserve"> </w:t>
      </w:r>
      <w:r w:rsidRPr="00FD5C00">
        <w:rPr>
          <w:sz w:val="14"/>
        </w:rPr>
        <w:t>Considerando el deflactor de diciembre 2017.</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A0439" w:rsidRDefault="009A0439" w:rsidP="009A17A2">
    <w:pPr>
      <w:pStyle w:val="Encabezado"/>
      <w:spacing w:after="0"/>
    </w:pPr>
  </w:p>
  <w:p w:rsidR="009A0439" w:rsidRDefault="009A0439" w:rsidP="009A17A2">
    <w:pPr>
      <w:pStyle w:val="Encabezado"/>
      <w:spacing w:after="0"/>
    </w:pPr>
  </w:p>
  <w:p w:rsidR="009A0439" w:rsidRDefault="009A0439" w:rsidP="009A17A2">
    <w:pPr>
      <w:pStyle w:val="Encabezado"/>
      <w:spacing w:after="0"/>
      <w:jc w:val="center"/>
    </w:pPr>
    <w:r>
      <w:rPr>
        <w:noProof/>
        <w:lang w:eastAsia="es-MX"/>
      </w:rPr>
      <w:drawing>
        <wp:inline distT="0" distB="0" distL="0" distR="0" wp14:anchorId="75A432BF" wp14:editId="373BC9ED">
          <wp:extent cx="5969000" cy="708660"/>
          <wp:effectExtent l="0" t="0" r="0" b="0"/>
          <wp:docPr id="2" name="Imagen 2" descr="ConstanteP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onstantePa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969000" cy="708660"/>
                  </a:xfrm>
                  <a:prstGeom prst="rect">
                    <a:avLst/>
                  </a:prstGeom>
                  <a:noFill/>
                  <a:ln>
                    <a:noFill/>
                  </a:ln>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A0439" w:rsidRDefault="009A0439" w:rsidP="00FC339A">
    <w:pPr>
      <w:pStyle w:val="Encabezado"/>
      <w:spacing w:after="0"/>
    </w:pPr>
  </w:p>
  <w:p w:rsidR="009A0439" w:rsidRDefault="009A0439" w:rsidP="00FC339A">
    <w:pPr>
      <w:pStyle w:val="Encabezado"/>
      <w:spacing w:after="0"/>
    </w:pPr>
  </w:p>
  <w:p w:rsidR="009A0439" w:rsidRDefault="009A0439" w:rsidP="00FC339A">
    <w:pPr>
      <w:pStyle w:val="Encabezado"/>
      <w:spacing w:after="0"/>
      <w:rPr>
        <w:noProof/>
        <w:lang w:eastAsia="es-MX"/>
      </w:rPr>
    </w:pPr>
    <w:r w:rsidRPr="00A42564">
      <w:rPr>
        <w:noProof/>
        <w:lang w:eastAsia="es-MX"/>
      </w:rPr>
      <w:drawing>
        <wp:inline distT="0" distB="0" distL="0" distR="0" wp14:anchorId="0BBE66FC" wp14:editId="22819BE1">
          <wp:extent cx="5971540" cy="657155"/>
          <wp:effectExtent l="0" t="0" r="0" b="0"/>
          <wp:docPr id="1" name="Imagen 1" descr="C:\Users\salvador_alvarez\Documents\Seguimiento a Programas derivados\Seguimiento 2018\2o Envío Final\06 SHCP\PI_Financiera Nacional de Desarrollo Agropecuario\ConstanteNonFInancier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alvador_alvarez\Documents\Seguimiento a Programas derivados\Seguimiento 2018\2o Envío Final\06 SHCP\PI_Financiera Nacional de Desarrollo Agropecuario\ConstanteNonFInanciera.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971540" cy="65715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582656"/>
    <w:multiLevelType w:val="hybridMultilevel"/>
    <w:tmpl w:val="EAD45B4A"/>
    <w:lvl w:ilvl="0" w:tplc="B31CCF98">
      <w:start w:val="1"/>
      <w:numFmt w:val="bullet"/>
      <w:pStyle w:val="PRIMERNIVELBULLET"/>
      <w:lvlText w:val=""/>
      <w:lvlJc w:val="left"/>
      <w:pPr>
        <w:ind w:left="720" w:hanging="360"/>
      </w:pPr>
      <w:rPr>
        <w:rFonts w:ascii="Symbol" w:hAnsi="Symbol" w:hint="default"/>
        <w:color w:val="000000"/>
        <w:sz w:val="18"/>
        <w:szCs w:val="20"/>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05F4D5A"/>
    <w:multiLevelType w:val="hybridMultilevel"/>
    <w:tmpl w:val="84FE681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24A54E4"/>
    <w:multiLevelType w:val="hybridMultilevel"/>
    <w:tmpl w:val="1202343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15550008"/>
    <w:multiLevelType w:val="hybridMultilevel"/>
    <w:tmpl w:val="4C8C2B82"/>
    <w:lvl w:ilvl="0" w:tplc="69463CBE">
      <w:start w:val="1"/>
      <w:numFmt w:val="bullet"/>
      <w:pStyle w:val="SEXTONIVELBULLET"/>
      <w:lvlText w:val=""/>
      <w:lvlJc w:val="left"/>
      <w:pPr>
        <w:ind w:left="720" w:hanging="360"/>
      </w:pPr>
      <w:rPr>
        <w:rFonts w:ascii="Symbol" w:hAnsi="Symbol" w:hint="default"/>
        <w:color w:val="auto"/>
        <w:sz w:val="10"/>
        <w:szCs w:val="12"/>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20BC7F4F"/>
    <w:multiLevelType w:val="hybridMultilevel"/>
    <w:tmpl w:val="FA4CE374"/>
    <w:lvl w:ilvl="0" w:tplc="5582C832">
      <w:start w:val="1"/>
      <w:numFmt w:val="bullet"/>
      <w:pStyle w:val="QUINTONIVELGUION"/>
      <w:lvlText w:val=""/>
      <w:lvlJc w:val="left"/>
      <w:pPr>
        <w:ind w:left="720" w:hanging="360"/>
      </w:pPr>
      <w:rPr>
        <w:rFonts w:ascii="Symbol" w:hAnsi="Symbol" w:hint="default"/>
        <w:color w:val="auto"/>
        <w:sz w:val="12"/>
        <w:szCs w:val="12"/>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2D780B96"/>
    <w:multiLevelType w:val="hybridMultilevel"/>
    <w:tmpl w:val="3828A146"/>
    <w:lvl w:ilvl="0" w:tplc="7E26EA4A">
      <w:start w:val="1"/>
      <w:numFmt w:val="bullet"/>
      <w:pStyle w:val="BULLETCUALITATIVO-LOGROS"/>
      <w:lvlText w:val=""/>
      <w:lvlJc w:val="left"/>
      <w:pPr>
        <w:ind w:left="720" w:hanging="360"/>
      </w:pPr>
      <w:rPr>
        <w:rFonts w:ascii="Symbol" w:hAnsi="Symbol" w:hint="default"/>
        <w:sz w:val="14"/>
        <w:szCs w:val="14"/>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2E4848BA"/>
    <w:multiLevelType w:val="hybridMultilevel"/>
    <w:tmpl w:val="8CFAFA2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3DBC0AFF"/>
    <w:multiLevelType w:val="hybridMultilevel"/>
    <w:tmpl w:val="518CD0D2"/>
    <w:lvl w:ilvl="0" w:tplc="85A6ACDA">
      <w:start w:val="1"/>
      <w:numFmt w:val="bullet"/>
      <w:pStyle w:val="VIETA3"/>
      <w:lvlText w:val="•"/>
      <w:lvlJc w:val="left"/>
      <w:pPr>
        <w:tabs>
          <w:tab w:val="num" w:pos="927"/>
        </w:tabs>
        <w:ind w:left="927" w:hanging="360"/>
      </w:pPr>
      <w:rPr>
        <w:rFonts w:hint="default"/>
        <w:color w:val="auto"/>
        <w:sz w:val="20"/>
        <w:szCs w:val="20"/>
      </w:rPr>
    </w:lvl>
    <w:lvl w:ilvl="1" w:tplc="102A5864">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3DD83DF3"/>
    <w:multiLevelType w:val="hybridMultilevel"/>
    <w:tmpl w:val="A05674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3FCF1957"/>
    <w:multiLevelType w:val="hybridMultilevel"/>
    <w:tmpl w:val="C10EBA68"/>
    <w:lvl w:ilvl="0" w:tplc="97E806AC">
      <w:start w:val="1"/>
      <w:numFmt w:val="bullet"/>
      <w:pStyle w:val="TERCERNIVELBULLET"/>
      <w:lvlText w:val=""/>
      <w:lvlJc w:val="left"/>
      <w:pPr>
        <w:ind w:left="720" w:hanging="360"/>
      </w:pPr>
      <w:rPr>
        <w:rFonts w:ascii="Symbol" w:hAnsi="Symbol" w:hint="default"/>
        <w:color w:val="auto"/>
        <w:sz w:val="14"/>
        <w:szCs w:val="14"/>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56610139"/>
    <w:multiLevelType w:val="hybridMultilevel"/>
    <w:tmpl w:val="3092C9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56AC51B0"/>
    <w:multiLevelType w:val="hybridMultilevel"/>
    <w:tmpl w:val="8346A5CE"/>
    <w:lvl w:ilvl="0" w:tplc="3E6E6AFA">
      <w:start w:val="1"/>
      <w:numFmt w:val="bullet"/>
      <w:pStyle w:val="SEGUNDONIVELGUION"/>
      <w:lvlText w:val="-"/>
      <w:lvlJc w:val="left"/>
      <w:pPr>
        <w:ind w:left="644" w:hanging="360"/>
      </w:pPr>
      <w:rPr>
        <w:rFonts w:ascii="Symbol" w:hAnsi="Symbol" w:hint="default"/>
        <w:color w:val="auto"/>
        <w:sz w:val="16"/>
        <w:szCs w:val="16"/>
      </w:rPr>
    </w:lvl>
    <w:lvl w:ilvl="1" w:tplc="080A0003" w:tentative="1">
      <w:start w:val="1"/>
      <w:numFmt w:val="bullet"/>
      <w:lvlText w:val="o"/>
      <w:lvlJc w:val="left"/>
      <w:pPr>
        <w:ind w:left="1364" w:hanging="360"/>
      </w:pPr>
      <w:rPr>
        <w:rFonts w:ascii="Courier New" w:hAnsi="Courier New" w:cs="Courier New" w:hint="default"/>
      </w:rPr>
    </w:lvl>
    <w:lvl w:ilvl="2" w:tplc="080A0005" w:tentative="1">
      <w:start w:val="1"/>
      <w:numFmt w:val="bullet"/>
      <w:lvlText w:val=""/>
      <w:lvlJc w:val="left"/>
      <w:pPr>
        <w:ind w:left="2084" w:hanging="360"/>
      </w:pPr>
      <w:rPr>
        <w:rFonts w:ascii="Wingdings" w:hAnsi="Wingdings" w:hint="default"/>
      </w:rPr>
    </w:lvl>
    <w:lvl w:ilvl="3" w:tplc="080A0001" w:tentative="1">
      <w:start w:val="1"/>
      <w:numFmt w:val="bullet"/>
      <w:lvlText w:val=""/>
      <w:lvlJc w:val="left"/>
      <w:pPr>
        <w:ind w:left="2804" w:hanging="360"/>
      </w:pPr>
      <w:rPr>
        <w:rFonts w:ascii="Symbol" w:hAnsi="Symbol" w:hint="default"/>
      </w:rPr>
    </w:lvl>
    <w:lvl w:ilvl="4" w:tplc="080A0003" w:tentative="1">
      <w:start w:val="1"/>
      <w:numFmt w:val="bullet"/>
      <w:lvlText w:val="o"/>
      <w:lvlJc w:val="left"/>
      <w:pPr>
        <w:ind w:left="3524" w:hanging="360"/>
      </w:pPr>
      <w:rPr>
        <w:rFonts w:ascii="Courier New" w:hAnsi="Courier New" w:cs="Courier New" w:hint="default"/>
      </w:rPr>
    </w:lvl>
    <w:lvl w:ilvl="5" w:tplc="080A0005" w:tentative="1">
      <w:start w:val="1"/>
      <w:numFmt w:val="bullet"/>
      <w:lvlText w:val=""/>
      <w:lvlJc w:val="left"/>
      <w:pPr>
        <w:ind w:left="4244" w:hanging="360"/>
      </w:pPr>
      <w:rPr>
        <w:rFonts w:ascii="Wingdings" w:hAnsi="Wingdings" w:hint="default"/>
      </w:rPr>
    </w:lvl>
    <w:lvl w:ilvl="6" w:tplc="080A0001" w:tentative="1">
      <w:start w:val="1"/>
      <w:numFmt w:val="bullet"/>
      <w:lvlText w:val=""/>
      <w:lvlJc w:val="left"/>
      <w:pPr>
        <w:ind w:left="4964" w:hanging="360"/>
      </w:pPr>
      <w:rPr>
        <w:rFonts w:ascii="Symbol" w:hAnsi="Symbol" w:hint="default"/>
      </w:rPr>
    </w:lvl>
    <w:lvl w:ilvl="7" w:tplc="080A0003" w:tentative="1">
      <w:start w:val="1"/>
      <w:numFmt w:val="bullet"/>
      <w:lvlText w:val="o"/>
      <w:lvlJc w:val="left"/>
      <w:pPr>
        <w:ind w:left="5684" w:hanging="360"/>
      </w:pPr>
      <w:rPr>
        <w:rFonts w:ascii="Courier New" w:hAnsi="Courier New" w:cs="Courier New" w:hint="default"/>
      </w:rPr>
    </w:lvl>
    <w:lvl w:ilvl="8" w:tplc="080A0005" w:tentative="1">
      <w:start w:val="1"/>
      <w:numFmt w:val="bullet"/>
      <w:lvlText w:val=""/>
      <w:lvlJc w:val="left"/>
      <w:pPr>
        <w:ind w:left="6404" w:hanging="360"/>
      </w:pPr>
      <w:rPr>
        <w:rFonts w:ascii="Wingdings" w:hAnsi="Wingdings" w:hint="default"/>
      </w:rPr>
    </w:lvl>
  </w:abstractNum>
  <w:abstractNum w:abstractNumId="12" w15:restartNumberingAfterBreak="0">
    <w:nsid w:val="5A7D4351"/>
    <w:multiLevelType w:val="hybridMultilevel"/>
    <w:tmpl w:val="7E1C74E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15:restartNumberingAfterBreak="0">
    <w:nsid w:val="618501F9"/>
    <w:multiLevelType w:val="hybridMultilevel"/>
    <w:tmpl w:val="AFE8E9D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15:restartNumberingAfterBreak="0">
    <w:nsid w:val="64850EA5"/>
    <w:multiLevelType w:val="hybridMultilevel"/>
    <w:tmpl w:val="EAB0EBB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5" w15:restartNumberingAfterBreak="0">
    <w:nsid w:val="65BC20DC"/>
    <w:multiLevelType w:val="hybridMultilevel"/>
    <w:tmpl w:val="89E0001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15:restartNumberingAfterBreak="0">
    <w:nsid w:val="788B4D15"/>
    <w:multiLevelType w:val="hybridMultilevel"/>
    <w:tmpl w:val="A7B09BDC"/>
    <w:lvl w:ilvl="0" w:tplc="BBF40C2C">
      <w:start w:val="1"/>
      <w:numFmt w:val="bullet"/>
      <w:pStyle w:val="CUARTONIVELBULLETHUECA"/>
      <w:lvlText w:val="o"/>
      <w:lvlJc w:val="left"/>
      <w:pPr>
        <w:ind w:left="720" w:hanging="360"/>
      </w:pPr>
      <w:rPr>
        <w:rFonts w:ascii="Symbol" w:hAnsi="Symbol" w:cs="Courier New" w:hint="default"/>
        <w:color w:val="auto"/>
        <w:sz w:val="13"/>
        <w:szCs w:val="13"/>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7" w15:restartNumberingAfterBreak="0">
    <w:nsid w:val="79296204"/>
    <w:multiLevelType w:val="hybridMultilevel"/>
    <w:tmpl w:val="933E2A3A"/>
    <w:lvl w:ilvl="0" w:tplc="63DC7626">
      <w:start w:val="1"/>
      <w:numFmt w:val="bullet"/>
      <w:pStyle w:val="GUION-LOGROS"/>
      <w:lvlText w:val=""/>
      <w:lvlJc w:val="left"/>
      <w:pPr>
        <w:ind w:left="720" w:hanging="360"/>
      </w:pPr>
      <w:rPr>
        <w:rFonts w:ascii="Symbol" w:hAnsi="Symbol" w:hint="default"/>
        <w:b/>
        <w:sz w:val="10"/>
        <w:szCs w:val="10"/>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7"/>
  </w:num>
  <w:num w:numId="2">
    <w:abstractNumId w:val="0"/>
  </w:num>
  <w:num w:numId="3">
    <w:abstractNumId w:val="11"/>
  </w:num>
  <w:num w:numId="4">
    <w:abstractNumId w:val="9"/>
  </w:num>
  <w:num w:numId="5">
    <w:abstractNumId w:val="16"/>
  </w:num>
  <w:num w:numId="6">
    <w:abstractNumId w:val="4"/>
  </w:num>
  <w:num w:numId="7">
    <w:abstractNumId w:val="3"/>
  </w:num>
  <w:num w:numId="8">
    <w:abstractNumId w:val="5"/>
  </w:num>
  <w:num w:numId="9">
    <w:abstractNumId w:val="17"/>
  </w:num>
  <w:num w:numId="10">
    <w:abstractNumId w:val="8"/>
  </w:num>
  <w:num w:numId="11">
    <w:abstractNumId w:val="14"/>
  </w:num>
  <w:num w:numId="12">
    <w:abstractNumId w:val="6"/>
  </w:num>
  <w:num w:numId="13">
    <w:abstractNumId w:val="10"/>
  </w:num>
  <w:num w:numId="14">
    <w:abstractNumId w:val="12"/>
  </w:num>
  <w:num w:numId="15">
    <w:abstractNumId w:val="2"/>
  </w:num>
  <w:num w:numId="16">
    <w:abstractNumId w:val="13"/>
  </w:num>
  <w:num w:numId="17">
    <w:abstractNumId w:val="1"/>
  </w:num>
  <w:num w:numId="18">
    <w:abstractNumId w:val="15"/>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7"/>
  <w:defaultTabStop w:val="709"/>
  <w:hyphenationZone w:val="425"/>
  <w:evenAndOddHeaders/>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500E4"/>
    <w:rsid w:val="00000898"/>
    <w:rsid w:val="00007B34"/>
    <w:rsid w:val="00010C3D"/>
    <w:rsid w:val="00012220"/>
    <w:rsid w:val="0001733E"/>
    <w:rsid w:val="0002395D"/>
    <w:rsid w:val="00033140"/>
    <w:rsid w:val="000343FB"/>
    <w:rsid w:val="000369A9"/>
    <w:rsid w:val="00042E28"/>
    <w:rsid w:val="00044DC8"/>
    <w:rsid w:val="000505EA"/>
    <w:rsid w:val="0005116E"/>
    <w:rsid w:val="000515D9"/>
    <w:rsid w:val="000545BE"/>
    <w:rsid w:val="00055A1B"/>
    <w:rsid w:val="00060C13"/>
    <w:rsid w:val="00063C1F"/>
    <w:rsid w:val="00071638"/>
    <w:rsid w:val="000753C2"/>
    <w:rsid w:val="000760D0"/>
    <w:rsid w:val="00077041"/>
    <w:rsid w:val="00082A4F"/>
    <w:rsid w:val="0008735F"/>
    <w:rsid w:val="00095A1C"/>
    <w:rsid w:val="000A2404"/>
    <w:rsid w:val="000A5280"/>
    <w:rsid w:val="000A7AD5"/>
    <w:rsid w:val="000B69FD"/>
    <w:rsid w:val="000C064D"/>
    <w:rsid w:val="000C2773"/>
    <w:rsid w:val="000C4C99"/>
    <w:rsid w:val="000C643F"/>
    <w:rsid w:val="000C68CB"/>
    <w:rsid w:val="000C6E0C"/>
    <w:rsid w:val="000D27CB"/>
    <w:rsid w:val="000D4866"/>
    <w:rsid w:val="000E2BB6"/>
    <w:rsid w:val="000E3D7F"/>
    <w:rsid w:val="000E4BA8"/>
    <w:rsid w:val="000E7AB9"/>
    <w:rsid w:val="000F21C6"/>
    <w:rsid w:val="000F2565"/>
    <w:rsid w:val="000F4C1E"/>
    <w:rsid w:val="000F5C4F"/>
    <w:rsid w:val="000F630B"/>
    <w:rsid w:val="000F69CB"/>
    <w:rsid w:val="000F6ADC"/>
    <w:rsid w:val="001075DB"/>
    <w:rsid w:val="0011525B"/>
    <w:rsid w:val="00115751"/>
    <w:rsid w:val="00115AF4"/>
    <w:rsid w:val="001222D5"/>
    <w:rsid w:val="001233F5"/>
    <w:rsid w:val="001264BF"/>
    <w:rsid w:val="00126B27"/>
    <w:rsid w:val="001363E8"/>
    <w:rsid w:val="00140A74"/>
    <w:rsid w:val="001416E8"/>
    <w:rsid w:val="00143510"/>
    <w:rsid w:val="00145A2D"/>
    <w:rsid w:val="00146C32"/>
    <w:rsid w:val="001535BA"/>
    <w:rsid w:val="00155B35"/>
    <w:rsid w:val="001636CE"/>
    <w:rsid w:val="00176ABB"/>
    <w:rsid w:val="001831F7"/>
    <w:rsid w:val="0018577B"/>
    <w:rsid w:val="00192849"/>
    <w:rsid w:val="00193502"/>
    <w:rsid w:val="001A051F"/>
    <w:rsid w:val="001A0D7A"/>
    <w:rsid w:val="001A3027"/>
    <w:rsid w:val="001A7157"/>
    <w:rsid w:val="001B282D"/>
    <w:rsid w:val="001B2932"/>
    <w:rsid w:val="001B30C9"/>
    <w:rsid w:val="001B3117"/>
    <w:rsid w:val="001B7064"/>
    <w:rsid w:val="001B7EF6"/>
    <w:rsid w:val="001C04F0"/>
    <w:rsid w:val="001C1388"/>
    <w:rsid w:val="001C4B74"/>
    <w:rsid w:val="001D01EC"/>
    <w:rsid w:val="001D1620"/>
    <w:rsid w:val="001D24FB"/>
    <w:rsid w:val="001E163E"/>
    <w:rsid w:val="001E4283"/>
    <w:rsid w:val="001E6CBF"/>
    <w:rsid w:val="001E6D82"/>
    <w:rsid w:val="001E73A0"/>
    <w:rsid w:val="001F13FA"/>
    <w:rsid w:val="001F29DF"/>
    <w:rsid w:val="00200F2D"/>
    <w:rsid w:val="00202F51"/>
    <w:rsid w:val="00203141"/>
    <w:rsid w:val="00206666"/>
    <w:rsid w:val="002070DF"/>
    <w:rsid w:val="002153B6"/>
    <w:rsid w:val="00226935"/>
    <w:rsid w:val="002339E1"/>
    <w:rsid w:val="00236A98"/>
    <w:rsid w:val="00237331"/>
    <w:rsid w:val="00241AE8"/>
    <w:rsid w:val="00242048"/>
    <w:rsid w:val="002420F5"/>
    <w:rsid w:val="00244FED"/>
    <w:rsid w:val="00246BC5"/>
    <w:rsid w:val="00247A17"/>
    <w:rsid w:val="002500E4"/>
    <w:rsid w:val="00251D36"/>
    <w:rsid w:val="00252984"/>
    <w:rsid w:val="00262C89"/>
    <w:rsid w:val="00262CFD"/>
    <w:rsid w:val="00271CF2"/>
    <w:rsid w:val="002743C6"/>
    <w:rsid w:val="002748A9"/>
    <w:rsid w:val="002759F1"/>
    <w:rsid w:val="00277AD3"/>
    <w:rsid w:val="00281941"/>
    <w:rsid w:val="002828E5"/>
    <w:rsid w:val="002836D9"/>
    <w:rsid w:val="00287C93"/>
    <w:rsid w:val="00296826"/>
    <w:rsid w:val="002A286B"/>
    <w:rsid w:val="002A32C6"/>
    <w:rsid w:val="002A6714"/>
    <w:rsid w:val="002A69FD"/>
    <w:rsid w:val="002A6EF0"/>
    <w:rsid w:val="002B001E"/>
    <w:rsid w:val="002B4342"/>
    <w:rsid w:val="002C04D4"/>
    <w:rsid w:val="002C257D"/>
    <w:rsid w:val="002C4C0C"/>
    <w:rsid w:val="002E0D42"/>
    <w:rsid w:val="002E0EF0"/>
    <w:rsid w:val="002E6EB6"/>
    <w:rsid w:val="002F044A"/>
    <w:rsid w:val="002F174B"/>
    <w:rsid w:val="002F246E"/>
    <w:rsid w:val="00303756"/>
    <w:rsid w:val="00303EB6"/>
    <w:rsid w:val="00306B16"/>
    <w:rsid w:val="00307C35"/>
    <w:rsid w:val="00311F11"/>
    <w:rsid w:val="0031328B"/>
    <w:rsid w:val="003161AB"/>
    <w:rsid w:val="00321F26"/>
    <w:rsid w:val="00322177"/>
    <w:rsid w:val="003253F7"/>
    <w:rsid w:val="00332E0A"/>
    <w:rsid w:val="00337B9D"/>
    <w:rsid w:val="00344564"/>
    <w:rsid w:val="003452CB"/>
    <w:rsid w:val="003455E3"/>
    <w:rsid w:val="00345656"/>
    <w:rsid w:val="00346E9D"/>
    <w:rsid w:val="00351BC7"/>
    <w:rsid w:val="00360496"/>
    <w:rsid w:val="00363826"/>
    <w:rsid w:val="00366D2B"/>
    <w:rsid w:val="0037584A"/>
    <w:rsid w:val="003818E0"/>
    <w:rsid w:val="00381DBF"/>
    <w:rsid w:val="00384C8C"/>
    <w:rsid w:val="003931B8"/>
    <w:rsid w:val="00395EA8"/>
    <w:rsid w:val="00397D37"/>
    <w:rsid w:val="003A3463"/>
    <w:rsid w:val="003B0E5F"/>
    <w:rsid w:val="003C0934"/>
    <w:rsid w:val="003C410D"/>
    <w:rsid w:val="003C48DA"/>
    <w:rsid w:val="003C4DD2"/>
    <w:rsid w:val="003C4EEE"/>
    <w:rsid w:val="003D0704"/>
    <w:rsid w:val="003D3747"/>
    <w:rsid w:val="003D40B2"/>
    <w:rsid w:val="003E1D6E"/>
    <w:rsid w:val="003F10D4"/>
    <w:rsid w:val="003F11DA"/>
    <w:rsid w:val="003F4C63"/>
    <w:rsid w:val="003F5B2A"/>
    <w:rsid w:val="00406CD7"/>
    <w:rsid w:val="00410E30"/>
    <w:rsid w:val="00411819"/>
    <w:rsid w:val="0041477B"/>
    <w:rsid w:val="00431397"/>
    <w:rsid w:val="004349C4"/>
    <w:rsid w:val="00440B77"/>
    <w:rsid w:val="004445D1"/>
    <w:rsid w:val="004566F4"/>
    <w:rsid w:val="00456AF3"/>
    <w:rsid w:val="00461C43"/>
    <w:rsid w:val="00462D80"/>
    <w:rsid w:val="00465A3F"/>
    <w:rsid w:val="00466788"/>
    <w:rsid w:val="004764E4"/>
    <w:rsid w:val="00492FFA"/>
    <w:rsid w:val="004A0215"/>
    <w:rsid w:val="004A7846"/>
    <w:rsid w:val="004B16B2"/>
    <w:rsid w:val="004B16D4"/>
    <w:rsid w:val="004B2F0E"/>
    <w:rsid w:val="004B55E4"/>
    <w:rsid w:val="004C2457"/>
    <w:rsid w:val="004C4071"/>
    <w:rsid w:val="004C6CA7"/>
    <w:rsid w:val="004D2695"/>
    <w:rsid w:val="004E264E"/>
    <w:rsid w:val="004F0357"/>
    <w:rsid w:val="004F4115"/>
    <w:rsid w:val="00504951"/>
    <w:rsid w:val="00506F44"/>
    <w:rsid w:val="005110B0"/>
    <w:rsid w:val="00511B11"/>
    <w:rsid w:val="00512F10"/>
    <w:rsid w:val="005204EC"/>
    <w:rsid w:val="005220A8"/>
    <w:rsid w:val="00522EA5"/>
    <w:rsid w:val="005243EC"/>
    <w:rsid w:val="005263DF"/>
    <w:rsid w:val="00527C0E"/>
    <w:rsid w:val="0053569B"/>
    <w:rsid w:val="00535AEB"/>
    <w:rsid w:val="005405F7"/>
    <w:rsid w:val="00540A30"/>
    <w:rsid w:val="00541D6A"/>
    <w:rsid w:val="00542761"/>
    <w:rsid w:val="00546EA5"/>
    <w:rsid w:val="0055448F"/>
    <w:rsid w:val="005577CD"/>
    <w:rsid w:val="00557A8B"/>
    <w:rsid w:val="00567DC0"/>
    <w:rsid w:val="00567E16"/>
    <w:rsid w:val="005736AD"/>
    <w:rsid w:val="00576ECF"/>
    <w:rsid w:val="0057739F"/>
    <w:rsid w:val="005777A5"/>
    <w:rsid w:val="00585522"/>
    <w:rsid w:val="00587037"/>
    <w:rsid w:val="00590A31"/>
    <w:rsid w:val="00593020"/>
    <w:rsid w:val="00595AE8"/>
    <w:rsid w:val="00595D8A"/>
    <w:rsid w:val="005A3AB1"/>
    <w:rsid w:val="005A44DA"/>
    <w:rsid w:val="005A5403"/>
    <w:rsid w:val="005A65E1"/>
    <w:rsid w:val="005A715E"/>
    <w:rsid w:val="005B5B8F"/>
    <w:rsid w:val="005C385F"/>
    <w:rsid w:val="005C3CC2"/>
    <w:rsid w:val="005C57B2"/>
    <w:rsid w:val="005D2650"/>
    <w:rsid w:val="005D46A9"/>
    <w:rsid w:val="005D5D36"/>
    <w:rsid w:val="005D6A1D"/>
    <w:rsid w:val="005E4686"/>
    <w:rsid w:val="005E5201"/>
    <w:rsid w:val="005E71E6"/>
    <w:rsid w:val="005F165A"/>
    <w:rsid w:val="005F1D6F"/>
    <w:rsid w:val="005F3A56"/>
    <w:rsid w:val="005F3EA5"/>
    <w:rsid w:val="005F6D2B"/>
    <w:rsid w:val="006058AE"/>
    <w:rsid w:val="006059DC"/>
    <w:rsid w:val="006062D8"/>
    <w:rsid w:val="0061519D"/>
    <w:rsid w:val="006171FC"/>
    <w:rsid w:val="00627594"/>
    <w:rsid w:val="00632687"/>
    <w:rsid w:val="006356A0"/>
    <w:rsid w:val="00636308"/>
    <w:rsid w:val="0063691E"/>
    <w:rsid w:val="006445C2"/>
    <w:rsid w:val="006452F9"/>
    <w:rsid w:val="006506E1"/>
    <w:rsid w:val="00657655"/>
    <w:rsid w:val="00657D34"/>
    <w:rsid w:val="00660FA9"/>
    <w:rsid w:val="00661FB2"/>
    <w:rsid w:val="006650EB"/>
    <w:rsid w:val="00665A27"/>
    <w:rsid w:val="0067052E"/>
    <w:rsid w:val="006734D2"/>
    <w:rsid w:val="006735FC"/>
    <w:rsid w:val="00680614"/>
    <w:rsid w:val="00686048"/>
    <w:rsid w:val="0068776F"/>
    <w:rsid w:val="00695A9A"/>
    <w:rsid w:val="006A6B23"/>
    <w:rsid w:val="006C42CF"/>
    <w:rsid w:val="006C753C"/>
    <w:rsid w:val="006C7AFF"/>
    <w:rsid w:val="006D14DA"/>
    <w:rsid w:val="006D2FC0"/>
    <w:rsid w:val="006D3CCE"/>
    <w:rsid w:val="006D4B3F"/>
    <w:rsid w:val="006D7259"/>
    <w:rsid w:val="006E0CA9"/>
    <w:rsid w:val="006E17E0"/>
    <w:rsid w:val="006E3C46"/>
    <w:rsid w:val="00701637"/>
    <w:rsid w:val="00704A3E"/>
    <w:rsid w:val="007138D5"/>
    <w:rsid w:val="0072213C"/>
    <w:rsid w:val="0072249F"/>
    <w:rsid w:val="00722C9B"/>
    <w:rsid w:val="007304DD"/>
    <w:rsid w:val="00732D03"/>
    <w:rsid w:val="00732F3E"/>
    <w:rsid w:val="00747832"/>
    <w:rsid w:val="00747A2B"/>
    <w:rsid w:val="00762310"/>
    <w:rsid w:val="00767F5C"/>
    <w:rsid w:val="00770660"/>
    <w:rsid w:val="00771731"/>
    <w:rsid w:val="0077198B"/>
    <w:rsid w:val="00774278"/>
    <w:rsid w:val="007811A6"/>
    <w:rsid w:val="00782F36"/>
    <w:rsid w:val="00783A4A"/>
    <w:rsid w:val="00785D79"/>
    <w:rsid w:val="00786EF3"/>
    <w:rsid w:val="00792354"/>
    <w:rsid w:val="00793EBE"/>
    <w:rsid w:val="007A1982"/>
    <w:rsid w:val="007A2CDC"/>
    <w:rsid w:val="007A3580"/>
    <w:rsid w:val="007A69AF"/>
    <w:rsid w:val="007B30A6"/>
    <w:rsid w:val="007B5C08"/>
    <w:rsid w:val="007B7C6A"/>
    <w:rsid w:val="007C3062"/>
    <w:rsid w:val="007C3587"/>
    <w:rsid w:val="007C5851"/>
    <w:rsid w:val="007C5D78"/>
    <w:rsid w:val="007D57F3"/>
    <w:rsid w:val="007E630F"/>
    <w:rsid w:val="007F2101"/>
    <w:rsid w:val="00802EB0"/>
    <w:rsid w:val="00804F23"/>
    <w:rsid w:val="00806C3F"/>
    <w:rsid w:val="00811E53"/>
    <w:rsid w:val="00813754"/>
    <w:rsid w:val="008138E5"/>
    <w:rsid w:val="008216E9"/>
    <w:rsid w:val="00830F52"/>
    <w:rsid w:val="008354F7"/>
    <w:rsid w:val="00836A5A"/>
    <w:rsid w:val="008379E8"/>
    <w:rsid w:val="00844C5F"/>
    <w:rsid w:val="00844E74"/>
    <w:rsid w:val="00853F37"/>
    <w:rsid w:val="008563BB"/>
    <w:rsid w:val="008616B5"/>
    <w:rsid w:val="008659C1"/>
    <w:rsid w:val="00867EF7"/>
    <w:rsid w:val="00875DA1"/>
    <w:rsid w:val="008809A6"/>
    <w:rsid w:val="008810AE"/>
    <w:rsid w:val="00883975"/>
    <w:rsid w:val="008878EF"/>
    <w:rsid w:val="00890417"/>
    <w:rsid w:val="008925DD"/>
    <w:rsid w:val="00893AB4"/>
    <w:rsid w:val="00894A51"/>
    <w:rsid w:val="00897028"/>
    <w:rsid w:val="008A1C34"/>
    <w:rsid w:val="008A286B"/>
    <w:rsid w:val="008B3D51"/>
    <w:rsid w:val="008B5173"/>
    <w:rsid w:val="008B542E"/>
    <w:rsid w:val="008B64FC"/>
    <w:rsid w:val="008B7A3C"/>
    <w:rsid w:val="008C1798"/>
    <w:rsid w:val="008C3ABA"/>
    <w:rsid w:val="008C5574"/>
    <w:rsid w:val="008D05AA"/>
    <w:rsid w:val="008D4DAF"/>
    <w:rsid w:val="008D5CE0"/>
    <w:rsid w:val="008E00AE"/>
    <w:rsid w:val="008E0AEF"/>
    <w:rsid w:val="008E3A1C"/>
    <w:rsid w:val="008E570F"/>
    <w:rsid w:val="008F13A7"/>
    <w:rsid w:val="008F741D"/>
    <w:rsid w:val="00900773"/>
    <w:rsid w:val="00901DC6"/>
    <w:rsid w:val="00903EB2"/>
    <w:rsid w:val="009047BD"/>
    <w:rsid w:val="009064DA"/>
    <w:rsid w:val="009265A2"/>
    <w:rsid w:val="00931E4D"/>
    <w:rsid w:val="0093362F"/>
    <w:rsid w:val="00936331"/>
    <w:rsid w:val="009462BA"/>
    <w:rsid w:val="009604AD"/>
    <w:rsid w:val="009619B0"/>
    <w:rsid w:val="00962DBB"/>
    <w:rsid w:val="009655E6"/>
    <w:rsid w:val="009833FD"/>
    <w:rsid w:val="00990E09"/>
    <w:rsid w:val="00990FFA"/>
    <w:rsid w:val="00994EC2"/>
    <w:rsid w:val="009A0439"/>
    <w:rsid w:val="009A17A2"/>
    <w:rsid w:val="009A18B7"/>
    <w:rsid w:val="009A29D0"/>
    <w:rsid w:val="009A2C24"/>
    <w:rsid w:val="009A3431"/>
    <w:rsid w:val="009A4B3C"/>
    <w:rsid w:val="009A5E08"/>
    <w:rsid w:val="009A7543"/>
    <w:rsid w:val="009B0091"/>
    <w:rsid w:val="009C02EC"/>
    <w:rsid w:val="009C3698"/>
    <w:rsid w:val="009C3DEB"/>
    <w:rsid w:val="009C4034"/>
    <w:rsid w:val="009C64BE"/>
    <w:rsid w:val="009C6BEF"/>
    <w:rsid w:val="009D17D6"/>
    <w:rsid w:val="009D7FE0"/>
    <w:rsid w:val="009E07DF"/>
    <w:rsid w:val="009E1755"/>
    <w:rsid w:val="009E2576"/>
    <w:rsid w:val="009E2FDC"/>
    <w:rsid w:val="009E4668"/>
    <w:rsid w:val="009E5DC4"/>
    <w:rsid w:val="009F32FF"/>
    <w:rsid w:val="009F72C4"/>
    <w:rsid w:val="00A10115"/>
    <w:rsid w:val="00A17DD7"/>
    <w:rsid w:val="00A21967"/>
    <w:rsid w:val="00A2328F"/>
    <w:rsid w:val="00A30FF0"/>
    <w:rsid w:val="00A33088"/>
    <w:rsid w:val="00A34B3E"/>
    <w:rsid w:val="00A35979"/>
    <w:rsid w:val="00A366DD"/>
    <w:rsid w:val="00A36A28"/>
    <w:rsid w:val="00A42564"/>
    <w:rsid w:val="00A45AAF"/>
    <w:rsid w:val="00A51804"/>
    <w:rsid w:val="00A524FD"/>
    <w:rsid w:val="00A55808"/>
    <w:rsid w:val="00A55B63"/>
    <w:rsid w:val="00A56BC7"/>
    <w:rsid w:val="00A65A52"/>
    <w:rsid w:val="00A727EA"/>
    <w:rsid w:val="00A74323"/>
    <w:rsid w:val="00A75C00"/>
    <w:rsid w:val="00A76A6B"/>
    <w:rsid w:val="00A84CA0"/>
    <w:rsid w:val="00A85654"/>
    <w:rsid w:val="00A964BC"/>
    <w:rsid w:val="00AA1EF9"/>
    <w:rsid w:val="00AA4A3E"/>
    <w:rsid w:val="00AB0C5D"/>
    <w:rsid w:val="00AB3E9A"/>
    <w:rsid w:val="00AB4C3F"/>
    <w:rsid w:val="00AB6041"/>
    <w:rsid w:val="00AB6FEC"/>
    <w:rsid w:val="00AC7594"/>
    <w:rsid w:val="00AC7979"/>
    <w:rsid w:val="00AD1845"/>
    <w:rsid w:val="00AD22A3"/>
    <w:rsid w:val="00AD5266"/>
    <w:rsid w:val="00AD783F"/>
    <w:rsid w:val="00AE3996"/>
    <w:rsid w:val="00AF0926"/>
    <w:rsid w:val="00AF0EEB"/>
    <w:rsid w:val="00AF20D9"/>
    <w:rsid w:val="00AF5A13"/>
    <w:rsid w:val="00B01F6B"/>
    <w:rsid w:val="00B04540"/>
    <w:rsid w:val="00B16698"/>
    <w:rsid w:val="00B21593"/>
    <w:rsid w:val="00B22DEB"/>
    <w:rsid w:val="00B25174"/>
    <w:rsid w:val="00B27006"/>
    <w:rsid w:val="00B27353"/>
    <w:rsid w:val="00B300B9"/>
    <w:rsid w:val="00B31F2B"/>
    <w:rsid w:val="00B320BB"/>
    <w:rsid w:val="00B337CC"/>
    <w:rsid w:val="00B42F46"/>
    <w:rsid w:val="00B51F70"/>
    <w:rsid w:val="00B529C3"/>
    <w:rsid w:val="00B646A6"/>
    <w:rsid w:val="00B7284F"/>
    <w:rsid w:val="00B84076"/>
    <w:rsid w:val="00B84ED4"/>
    <w:rsid w:val="00B900FD"/>
    <w:rsid w:val="00B9222C"/>
    <w:rsid w:val="00B95E6F"/>
    <w:rsid w:val="00BA6260"/>
    <w:rsid w:val="00BA7FA2"/>
    <w:rsid w:val="00BB00F6"/>
    <w:rsid w:val="00BB076D"/>
    <w:rsid w:val="00BB18A9"/>
    <w:rsid w:val="00BB3721"/>
    <w:rsid w:val="00BC7574"/>
    <w:rsid w:val="00BC780B"/>
    <w:rsid w:val="00BD0D05"/>
    <w:rsid w:val="00BD4351"/>
    <w:rsid w:val="00BD72BE"/>
    <w:rsid w:val="00BE592D"/>
    <w:rsid w:val="00BE5D65"/>
    <w:rsid w:val="00BE7741"/>
    <w:rsid w:val="00BF2EAC"/>
    <w:rsid w:val="00BF450C"/>
    <w:rsid w:val="00BF60DF"/>
    <w:rsid w:val="00C02B35"/>
    <w:rsid w:val="00C1396F"/>
    <w:rsid w:val="00C22AA4"/>
    <w:rsid w:val="00C2559F"/>
    <w:rsid w:val="00C27075"/>
    <w:rsid w:val="00C322BC"/>
    <w:rsid w:val="00C34380"/>
    <w:rsid w:val="00C34517"/>
    <w:rsid w:val="00C47661"/>
    <w:rsid w:val="00C479DB"/>
    <w:rsid w:val="00C540E6"/>
    <w:rsid w:val="00C56599"/>
    <w:rsid w:val="00C5669C"/>
    <w:rsid w:val="00C6064A"/>
    <w:rsid w:val="00C628AB"/>
    <w:rsid w:val="00C63432"/>
    <w:rsid w:val="00C70EFA"/>
    <w:rsid w:val="00C76866"/>
    <w:rsid w:val="00C775E2"/>
    <w:rsid w:val="00C81164"/>
    <w:rsid w:val="00C861A4"/>
    <w:rsid w:val="00C87B36"/>
    <w:rsid w:val="00C92124"/>
    <w:rsid w:val="00C92C8F"/>
    <w:rsid w:val="00C96B09"/>
    <w:rsid w:val="00C96F13"/>
    <w:rsid w:val="00CA1150"/>
    <w:rsid w:val="00CA627C"/>
    <w:rsid w:val="00CC1016"/>
    <w:rsid w:val="00CD4828"/>
    <w:rsid w:val="00CE0393"/>
    <w:rsid w:val="00CE08E9"/>
    <w:rsid w:val="00CE5007"/>
    <w:rsid w:val="00CF452B"/>
    <w:rsid w:val="00CF584C"/>
    <w:rsid w:val="00D0013F"/>
    <w:rsid w:val="00D0269E"/>
    <w:rsid w:val="00D14F09"/>
    <w:rsid w:val="00D2205A"/>
    <w:rsid w:val="00D221B8"/>
    <w:rsid w:val="00D222A5"/>
    <w:rsid w:val="00D23A4A"/>
    <w:rsid w:val="00D240DF"/>
    <w:rsid w:val="00D24231"/>
    <w:rsid w:val="00D2528C"/>
    <w:rsid w:val="00D416D3"/>
    <w:rsid w:val="00D441C3"/>
    <w:rsid w:val="00D45EA0"/>
    <w:rsid w:val="00D565BF"/>
    <w:rsid w:val="00D65B35"/>
    <w:rsid w:val="00D7101B"/>
    <w:rsid w:val="00D73268"/>
    <w:rsid w:val="00D734C5"/>
    <w:rsid w:val="00D73B1D"/>
    <w:rsid w:val="00D76693"/>
    <w:rsid w:val="00D76B1D"/>
    <w:rsid w:val="00D77DD4"/>
    <w:rsid w:val="00D77DD6"/>
    <w:rsid w:val="00D811E9"/>
    <w:rsid w:val="00D81825"/>
    <w:rsid w:val="00D85A71"/>
    <w:rsid w:val="00D9089C"/>
    <w:rsid w:val="00D91F67"/>
    <w:rsid w:val="00D94FCB"/>
    <w:rsid w:val="00DA112D"/>
    <w:rsid w:val="00DA2F14"/>
    <w:rsid w:val="00DA3F60"/>
    <w:rsid w:val="00DA4362"/>
    <w:rsid w:val="00DA56C9"/>
    <w:rsid w:val="00DA7379"/>
    <w:rsid w:val="00DB12D6"/>
    <w:rsid w:val="00DB204F"/>
    <w:rsid w:val="00DB62A5"/>
    <w:rsid w:val="00DC0C62"/>
    <w:rsid w:val="00DC12A1"/>
    <w:rsid w:val="00DD26DF"/>
    <w:rsid w:val="00DD7F42"/>
    <w:rsid w:val="00DE2D3B"/>
    <w:rsid w:val="00DE369C"/>
    <w:rsid w:val="00DE732E"/>
    <w:rsid w:val="00DE7DF6"/>
    <w:rsid w:val="00DF23A3"/>
    <w:rsid w:val="00E00F9C"/>
    <w:rsid w:val="00E11ECC"/>
    <w:rsid w:val="00E126D2"/>
    <w:rsid w:val="00E14505"/>
    <w:rsid w:val="00E15B14"/>
    <w:rsid w:val="00E16F62"/>
    <w:rsid w:val="00E27366"/>
    <w:rsid w:val="00E31976"/>
    <w:rsid w:val="00E31F41"/>
    <w:rsid w:val="00E32EF0"/>
    <w:rsid w:val="00E36E16"/>
    <w:rsid w:val="00E466F0"/>
    <w:rsid w:val="00E50081"/>
    <w:rsid w:val="00E551B5"/>
    <w:rsid w:val="00E55A5E"/>
    <w:rsid w:val="00E56960"/>
    <w:rsid w:val="00E60C16"/>
    <w:rsid w:val="00E7145D"/>
    <w:rsid w:val="00E716E5"/>
    <w:rsid w:val="00E73E86"/>
    <w:rsid w:val="00E744AA"/>
    <w:rsid w:val="00E80E77"/>
    <w:rsid w:val="00E8562E"/>
    <w:rsid w:val="00E97ABF"/>
    <w:rsid w:val="00EA4608"/>
    <w:rsid w:val="00EA4BCB"/>
    <w:rsid w:val="00EA5277"/>
    <w:rsid w:val="00EA62E8"/>
    <w:rsid w:val="00EA77B4"/>
    <w:rsid w:val="00EB46B7"/>
    <w:rsid w:val="00EB71B0"/>
    <w:rsid w:val="00EC16CB"/>
    <w:rsid w:val="00ED1E44"/>
    <w:rsid w:val="00ED4538"/>
    <w:rsid w:val="00ED713B"/>
    <w:rsid w:val="00EE0461"/>
    <w:rsid w:val="00EE094B"/>
    <w:rsid w:val="00EE2921"/>
    <w:rsid w:val="00EF07E9"/>
    <w:rsid w:val="00EF62F1"/>
    <w:rsid w:val="00F013C9"/>
    <w:rsid w:val="00F01D98"/>
    <w:rsid w:val="00F01EE8"/>
    <w:rsid w:val="00F0404D"/>
    <w:rsid w:val="00F10D0F"/>
    <w:rsid w:val="00F11176"/>
    <w:rsid w:val="00F1140B"/>
    <w:rsid w:val="00F165A2"/>
    <w:rsid w:val="00F17E54"/>
    <w:rsid w:val="00F218A6"/>
    <w:rsid w:val="00F25333"/>
    <w:rsid w:val="00F26276"/>
    <w:rsid w:val="00F30959"/>
    <w:rsid w:val="00F40F5E"/>
    <w:rsid w:val="00F47205"/>
    <w:rsid w:val="00F47E16"/>
    <w:rsid w:val="00F53659"/>
    <w:rsid w:val="00F53701"/>
    <w:rsid w:val="00F55020"/>
    <w:rsid w:val="00F572D5"/>
    <w:rsid w:val="00F7660B"/>
    <w:rsid w:val="00F77155"/>
    <w:rsid w:val="00F77BA5"/>
    <w:rsid w:val="00F84DA7"/>
    <w:rsid w:val="00F86B86"/>
    <w:rsid w:val="00F93D39"/>
    <w:rsid w:val="00FA22EB"/>
    <w:rsid w:val="00FB129E"/>
    <w:rsid w:val="00FB28CC"/>
    <w:rsid w:val="00FB640F"/>
    <w:rsid w:val="00FB715F"/>
    <w:rsid w:val="00FC00EE"/>
    <w:rsid w:val="00FC339A"/>
    <w:rsid w:val="00FD1102"/>
    <w:rsid w:val="00FD2779"/>
    <w:rsid w:val="00FD2909"/>
    <w:rsid w:val="00FE3915"/>
    <w:rsid w:val="00FE4D34"/>
    <w:rsid w:val="00FE5EF5"/>
    <w:rsid w:val="00FE6406"/>
    <w:rsid w:val="00FF40F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9C642EA7-E6B6-4917-A545-EF9A62D168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s-MX" w:eastAsia="es-MX"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F77BA5"/>
    <w:pPr>
      <w:spacing w:after="200" w:line="276" w:lineRule="auto"/>
      <w:jc w:val="both"/>
    </w:pPr>
    <w:rPr>
      <w:rFonts w:ascii="Soberana Sans Light" w:hAnsi="Soberana Sans Light"/>
      <w:sz w:val="17"/>
      <w:szCs w:val="22"/>
      <w:lang w:eastAsia="en-US"/>
    </w:rPr>
  </w:style>
  <w:style w:type="paragraph" w:styleId="Ttulo3">
    <w:name w:val="heading 3"/>
    <w:aliases w:val="Títulos notas"/>
    <w:basedOn w:val="Normal"/>
    <w:next w:val="Normal"/>
    <w:link w:val="Ttulo3Car"/>
    <w:qFormat/>
    <w:rsid w:val="00A30FF0"/>
    <w:pPr>
      <w:keepNext/>
      <w:spacing w:before="120" w:after="0" w:line="240" w:lineRule="auto"/>
      <w:jc w:val="left"/>
      <w:outlineLvl w:val="2"/>
    </w:pPr>
    <w:rPr>
      <w:rFonts w:ascii="Verdana" w:eastAsia="Times New Roman" w:hAnsi="Verdana"/>
      <w:i/>
      <w:iCs/>
      <w:sz w:val="24"/>
      <w:szCs w:val="23"/>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3Car">
    <w:name w:val="Título 3 Car"/>
    <w:aliases w:val="Títulos notas Car"/>
    <w:basedOn w:val="Fuentedeprrafopredeter"/>
    <w:link w:val="Ttulo3"/>
    <w:rsid w:val="00A30FF0"/>
    <w:rPr>
      <w:rFonts w:ascii="Verdana" w:eastAsia="Times New Roman" w:hAnsi="Verdana"/>
      <w:i/>
      <w:iCs/>
      <w:sz w:val="24"/>
      <w:szCs w:val="23"/>
      <w:lang w:eastAsia="es-ES"/>
    </w:rPr>
  </w:style>
  <w:style w:type="paragraph" w:customStyle="1" w:styleId="VIETA3">
    <w:name w:val="_VIÑETA3"/>
    <w:basedOn w:val="Normal"/>
    <w:uiPriority w:val="99"/>
    <w:rsid w:val="008A1C34"/>
    <w:pPr>
      <w:numPr>
        <w:numId w:val="1"/>
      </w:numPr>
      <w:tabs>
        <w:tab w:val="left" w:pos="851"/>
      </w:tabs>
      <w:spacing w:before="120" w:after="120" w:line="240" w:lineRule="exact"/>
    </w:pPr>
    <w:rPr>
      <w:rFonts w:ascii="Presidencia Fina" w:eastAsia="Times New Roman" w:hAnsi="Presidencia Fina"/>
      <w:sz w:val="24"/>
      <w:szCs w:val="24"/>
      <w:lang w:val="es-ES" w:eastAsia="es-ES_tradnl"/>
    </w:rPr>
  </w:style>
  <w:style w:type="paragraph" w:styleId="Textodeglobo">
    <w:name w:val="Balloon Text"/>
    <w:basedOn w:val="Normal"/>
    <w:link w:val="TextodegloboCar"/>
    <w:uiPriority w:val="99"/>
    <w:semiHidden/>
    <w:unhideWhenUsed/>
    <w:rsid w:val="00F0404D"/>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F0404D"/>
    <w:rPr>
      <w:rFonts w:ascii="Tahoma" w:hAnsi="Tahoma" w:cs="Tahoma"/>
      <w:sz w:val="16"/>
      <w:szCs w:val="16"/>
    </w:rPr>
  </w:style>
  <w:style w:type="character" w:styleId="Nmerodepgina">
    <w:name w:val="page number"/>
    <w:basedOn w:val="Fuentedeprrafopredeter"/>
    <w:uiPriority w:val="99"/>
    <w:semiHidden/>
    <w:unhideWhenUsed/>
    <w:rsid w:val="007C3062"/>
  </w:style>
  <w:style w:type="paragraph" w:styleId="NormalWeb">
    <w:name w:val="Normal (Web)"/>
    <w:basedOn w:val="Normal"/>
    <w:uiPriority w:val="99"/>
    <w:semiHidden/>
    <w:unhideWhenUsed/>
    <w:rsid w:val="005B5B8F"/>
    <w:pPr>
      <w:spacing w:before="100" w:beforeAutospacing="1" w:after="100" w:afterAutospacing="1" w:line="240" w:lineRule="auto"/>
    </w:pPr>
    <w:rPr>
      <w:rFonts w:ascii="Times New Roman" w:eastAsia="Times New Roman" w:hAnsi="Times New Roman"/>
      <w:sz w:val="24"/>
      <w:szCs w:val="24"/>
      <w:lang w:eastAsia="es-MX"/>
    </w:rPr>
  </w:style>
  <w:style w:type="paragraph" w:styleId="Textonotapie">
    <w:name w:val="footnote text"/>
    <w:aliases w:val="Texto,nota,pie,independiente,Letrero,margen"/>
    <w:basedOn w:val="Normal"/>
    <w:link w:val="TextonotapieCar"/>
    <w:uiPriority w:val="99"/>
    <w:semiHidden/>
    <w:unhideWhenUsed/>
    <w:rsid w:val="00DA2F14"/>
    <w:pPr>
      <w:spacing w:after="0" w:line="240" w:lineRule="auto"/>
    </w:pPr>
    <w:rPr>
      <w:sz w:val="20"/>
      <w:szCs w:val="20"/>
    </w:rPr>
  </w:style>
  <w:style w:type="character" w:customStyle="1" w:styleId="TextonotapieCar">
    <w:name w:val="Texto nota pie Car"/>
    <w:aliases w:val="Texto Car,nota Car,pie Car,independiente Car,Letrero Car,margen Car"/>
    <w:link w:val="Textonotapie"/>
    <w:uiPriority w:val="99"/>
    <w:semiHidden/>
    <w:rsid w:val="00DA2F14"/>
    <w:rPr>
      <w:sz w:val="20"/>
      <w:szCs w:val="20"/>
    </w:rPr>
  </w:style>
  <w:style w:type="character" w:styleId="Refdenotaalpie">
    <w:name w:val="footnote reference"/>
    <w:uiPriority w:val="99"/>
    <w:unhideWhenUsed/>
    <w:rsid w:val="00DA2F14"/>
    <w:rPr>
      <w:vertAlign w:val="superscript"/>
    </w:rPr>
  </w:style>
  <w:style w:type="paragraph" w:customStyle="1" w:styleId="TITULO1APARTADO">
    <w:name w:val="TITULO 1 APARTADO"/>
    <w:next w:val="Normal"/>
    <w:qFormat/>
    <w:rsid w:val="002759F1"/>
    <w:pPr>
      <w:autoSpaceDE w:val="0"/>
      <w:autoSpaceDN w:val="0"/>
      <w:adjustRightInd w:val="0"/>
      <w:spacing w:line="400" w:lineRule="exact"/>
    </w:pPr>
    <w:rPr>
      <w:rFonts w:ascii="Soberana Sans" w:hAnsi="Soberana Sans" w:cs="ACaslonPro-Regular"/>
      <w:b/>
      <w:caps/>
      <w:sz w:val="38"/>
      <w:szCs w:val="38"/>
      <w:lang w:eastAsia="en-US"/>
    </w:rPr>
  </w:style>
  <w:style w:type="paragraph" w:customStyle="1" w:styleId="Cuerpodeltexto">
    <w:name w:val="Cuerpo del texto"/>
    <w:basedOn w:val="TITULO4OBJETIVO"/>
    <w:link w:val="CuerpodeltextoCar"/>
    <w:qFormat/>
    <w:rsid w:val="003C4EEE"/>
    <w:pPr>
      <w:spacing w:before="120" w:after="120" w:line="220" w:lineRule="exact"/>
      <w:jc w:val="both"/>
    </w:pPr>
    <w:rPr>
      <w:rFonts w:ascii="Soberana Sans Light" w:hAnsi="Soberana Sans Light"/>
      <w:b w:val="0"/>
      <w:sz w:val="17"/>
      <w:szCs w:val="17"/>
      <w:lang w:val="es-ES_tradnl"/>
    </w:rPr>
  </w:style>
  <w:style w:type="paragraph" w:customStyle="1" w:styleId="TITULO4OBJETIVO">
    <w:name w:val="TITULO 4  OBJETIVO"/>
    <w:next w:val="Normal"/>
    <w:link w:val="TITULO4OBJETIVOCar"/>
    <w:qFormat/>
    <w:rsid w:val="00236A98"/>
    <w:pPr>
      <w:autoSpaceDE w:val="0"/>
      <w:autoSpaceDN w:val="0"/>
      <w:adjustRightInd w:val="0"/>
      <w:spacing w:before="160" w:after="160"/>
    </w:pPr>
    <w:rPr>
      <w:rFonts w:ascii="Soberana Sans" w:hAnsi="Soberana Sans" w:cs="ACaslonPro-Regular"/>
      <w:b/>
      <w:sz w:val="24"/>
      <w:szCs w:val="24"/>
      <w:lang w:eastAsia="en-US"/>
    </w:rPr>
  </w:style>
  <w:style w:type="character" w:customStyle="1" w:styleId="TITULO4OBJETIVOCar">
    <w:name w:val="TITULO 4  OBJETIVO Car"/>
    <w:link w:val="TITULO4OBJETIVO"/>
    <w:rsid w:val="003F10D4"/>
    <w:rPr>
      <w:rFonts w:ascii="Soberana Sans" w:hAnsi="Soberana Sans" w:cs="ACaslonPro-Regular"/>
      <w:b/>
      <w:sz w:val="24"/>
      <w:szCs w:val="24"/>
      <w:lang w:eastAsia="en-US"/>
    </w:rPr>
  </w:style>
  <w:style w:type="character" w:customStyle="1" w:styleId="CuerpodeltextoCar">
    <w:name w:val="Cuerpo del texto Car"/>
    <w:link w:val="Cuerpodeltexto"/>
    <w:rsid w:val="003C4EEE"/>
    <w:rPr>
      <w:rFonts w:ascii="Soberana Sans Light" w:hAnsi="Soberana Sans Light" w:cs="ACaslonPro-Regular"/>
      <w:sz w:val="17"/>
      <w:szCs w:val="17"/>
      <w:lang w:val="es-ES_tradnl" w:eastAsia="en-US"/>
    </w:rPr>
  </w:style>
  <w:style w:type="paragraph" w:customStyle="1" w:styleId="TITULO3OBJETIVO">
    <w:name w:val="TITULO 3 OBJETIVO"/>
    <w:basedOn w:val="Normal"/>
    <w:rsid w:val="00D77DD6"/>
    <w:pPr>
      <w:autoSpaceDE w:val="0"/>
      <w:autoSpaceDN w:val="0"/>
      <w:adjustRightInd w:val="0"/>
      <w:spacing w:before="160" w:after="160" w:line="240" w:lineRule="auto"/>
    </w:pPr>
    <w:rPr>
      <w:rFonts w:ascii="Soberana Sans" w:hAnsi="Soberana Sans" w:cs="ACaslonPro-Regular"/>
      <w:b/>
      <w:sz w:val="28"/>
      <w:szCs w:val="28"/>
    </w:rPr>
  </w:style>
  <w:style w:type="paragraph" w:styleId="Encabezado">
    <w:name w:val="header"/>
    <w:basedOn w:val="Normal"/>
    <w:link w:val="EncabezadoCar"/>
    <w:uiPriority w:val="99"/>
    <w:unhideWhenUsed/>
    <w:rsid w:val="009A17A2"/>
    <w:pPr>
      <w:tabs>
        <w:tab w:val="center" w:pos="4419"/>
        <w:tab w:val="right" w:pos="8838"/>
      </w:tabs>
    </w:pPr>
  </w:style>
  <w:style w:type="character" w:customStyle="1" w:styleId="EncabezadoCar">
    <w:name w:val="Encabezado Car"/>
    <w:link w:val="Encabezado"/>
    <w:uiPriority w:val="99"/>
    <w:rsid w:val="009A17A2"/>
    <w:rPr>
      <w:sz w:val="22"/>
      <w:szCs w:val="22"/>
      <w:lang w:eastAsia="en-US"/>
    </w:rPr>
  </w:style>
  <w:style w:type="paragraph" w:customStyle="1" w:styleId="SEGUNDONIVELGUION">
    <w:name w:val="SEGUNDO NIVEL GUION"/>
    <w:basedOn w:val="Normal"/>
    <w:qFormat/>
    <w:rsid w:val="005577CD"/>
    <w:pPr>
      <w:numPr>
        <w:numId w:val="3"/>
      </w:numPr>
      <w:tabs>
        <w:tab w:val="left" w:pos="363"/>
        <w:tab w:val="left" w:pos="567"/>
      </w:tabs>
      <w:autoSpaceDE w:val="0"/>
      <w:autoSpaceDN w:val="0"/>
      <w:adjustRightInd w:val="0"/>
      <w:spacing w:before="120" w:after="120" w:line="220" w:lineRule="exact"/>
      <w:ind w:left="362" w:hanging="181"/>
    </w:pPr>
    <w:rPr>
      <w:rFonts w:eastAsia="SymbolMT" w:cs="ACaslonPro-Regular"/>
      <w:color w:val="303030"/>
      <w:szCs w:val="18"/>
    </w:rPr>
  </w:style>
  <w:style w:type="paragraph" w:customStyle="1" w:styleId="TERCERNIVELBULLET">
    <w:name w:val="TERCER NIVEL BULLET"/>
    <w:basedOn w:val="Normal"/>
    <w:qFormat/>
    <w:rsid w:val="005577CD"/>
    <w:pPr>
      <w:numPr>
        <w:numId w:val="4"/>
      </w:numPr>
      <w:tabs>
        <w:tab w:val="left" w:pos="546"/>
        <w:tab w:val="left" w:pos="964"/>
      </w:tabs>
      <w:autoSpaceDE w:val="0"/>
      <w:autoSpaceDN w:val="0"/>
      <w:adjustRightInd w:val="0"/>
      <w:spacing w:before="120" w:after="120" w:line="220" w:lineRule="exact"/>
      <w:ind w:left="544" w:hanging="181"/>
    </w:pPr>
    <w:rPr>
      <w:rFonts w:eastAsia="SymbolMT" w:cs="ACaslonPro-Regular"/>
      <w:color w:val="303030"/>
      <w:szCs w:val="18"/>
    </w:rPr>
  </w:style>
  <w:style w:type="paragraph" w:customStyle="1" w:styleId="CUARTONIVELBULLETHUECA">
    <w:name w:val="CUARTO NIVEL BULLET HUECA"/>
    <w:basedOn w:val="Normal"/>
    <w:qFormat/>
    <w:rsid w:val="005577CD"/>
    <w:pPr>
      <w:numPr>
        <w:numId w:val="5"/>
      </w:numPr>
      <w:tabs>
        <w:tab w:val="left" w:pos="822"/>
        <w:tab w:val="left" w:pos="902"/>
      </w:tabs>
      <w:autoSpaceDE w:val="0"/>
      <w:autoSpaceDN w:val="0"/>
      <w:adjustRightInd w:val="0"/>
      <w:spacing w:before="120" w:after="120" w:line="220" w:lineRule="exact"/>
      <w:ind w:left="822" w:hanging="255"/>
    </w:pPr>
    <w:rPr>
      <w:rFonts w:eastAsia="SymbolMT" w:cs="ACaslonPro-Regular"/>
      <w:color w:val="303030"/>
      <w:szCs w:val="18"/>
    </w:rPr>
  </w:style>
  <w:style w:type="paragraph" w:customStyle="1" w:styleId="QUINTONIVELGUION">
    <w:name w:val="QUINTO NIVEL GUION"/>
    <w:basedOn w:val="Normal"/>
    <w:qFormat/>
    <w:rsid w:val="005577CD"/>
    <w:pPr>
      <w:numPr>
        <w:numId w:val="6"/>
      </w:numPr>
      <w:tabs>
        <w:tab w:val="left" w:pos="822"/>
      </w:tabs>
      <w:autoSpaceDE w:val="0"/>
      <w:autoSpaceDN w:val="0"/>
      <w:adjustRightInd w:val="0"/>
      <w:spacing w:before="120" w:after="120" w:line="220" w:lineRule="exact"/>
      <w:ind w:left="1049" w:hanging="255"/>
    </w:pPr>
    <w:rPr>
      <w:rFonts w:eastAsia="SymbolMT" w:cs="ACaslonPro-Regular"/>
      <w:color w:val="303030"/>
      <w:szCs w:val="18"/>
    </w:rPr>
  </w:style>
  <w:style w:type="paragraph" w:customStyle="1" w:styleId="SEXTONIVELBULLET">
    <w:name w:val="SEXTO NIVEL BULLET"/>
    <w:basedOn w:val="Normal"/>
    <w:qFormat/>
    <w:rsid w:val="005577CD"/>
    <w:pPr>
      <w:numPr>
        <w:numId w:val="7"/>
      </w:numPr>
      <w:tabs>
        <w:tab w:val="left" w:pos="822"/>
      </w:tabs>
      <w:autoSpaceDE w:val="0"/>
      <w:autoSpaceDN w:val="0"/>
      <w:adjustRightInd w:val="0"/>
      <w:spacing w:before="120" w:after="120" w:line="220" w:lineRule="exact"/>
      <w:ind w:left="1304" w:hanging="227"/>
    </w:pPr>
    <w:rPr>
      <w:rFonts w:eastAsia="SymbolMT" w:cs="ACaslonPro-Regular"/>
      <w:color w:val="303030"/>
      <w:szCs w:val="18"/>
    </w:rPr>
  </w:style>
  <w:style w:type="paragraph" w:customStyle="1" w:styleId="NOTAPIEDEPAGINA">
    <w:name w:val="NOTA PIE DE PAGINA"/>
    <w:basedOn w:val="Textonotapie"/>
    <w:qFormat/>
    <w:rsid w:val="005577CD"/>
    <w:pPr>
      <w:spacing w:before="40" w:after="40" w:line="220" w:lineRule="exact"/>
      <w:ind w:left="284" w:hanging="284"/>
    </w:pPr>
    <w:rPr>
      <w:color w:val="303030"/>
      <w:sz w:val="15"/>
      <w:szCs w:val="16"/>
    </w:rPr>
  </w:style>
  <w:style w:type="paragraph" w:customStyle="1" w:styleId="BULLETCUALITATIVO-LOGROS">
    <w:name w:val="BULLET CUALITATIVO-LOGROS"/>
    <w:basedOn w:val="Normal"/>
    <w:qFormat/>
    <w:rsid w:val="00C6064A"/>
    <w:pPr>
      <w:framePr w:wrap="around" w:vAnchor="text" w:hAnchor="margin" w:xAlign="right" w:y="36"/>
      <w:numPr>
        <w:numId w:val="8"/>
      </w:numPr>
      <w:spacing w:before="40" w:after="40" w:line="220" w:lineRule="exact"/>
      <w:ind w:left="170" w:hanging="170"/>
      <w:contextualSpacing/>
      <w:suppressOverlap/>
    </w:pPr>
    <w:rPr>
      <w:rFonts w:eastAsia="SymbolMT" w:cs="ACaslonPro-Regular"/>
      <w:color w:val="303030"/>
      <w:sz w:val="16"/>
      <w:szCs w:val="16"/>
    </w:rPr>
  </w:style>
  <w:style w:type="paragraph" w:styleId="Prrafodelista">
    <w:name w:val="List Paragraph"/>
    <w:aliases w:val="Listas,lp1,List Paragraph1,List Paragraph Char Char,b1,List Paragraph11,Bullet List,FooterText,numbered,Paragraphe de liste1,Bulletr List Paragraph,列出段落,列出段落1,Use Case List Paragraph,lp11,Bullet 1"/>
    <w:basedOn w:val="Normal"/>
    <w:link w:val="PrrafodelistaCar"/>
    <w:uiPriority w:val="34"/>
    <w:qFormat/>
    <w:rsid w:val="00774278"/>
    <w:pPr>
      <w:ind w:left="720"/>
      <w:contextualSpacing/>
    </w:pPr>
  </w:style>
  <w:style w:type="character" w:customStyle="1" w:styleId="PrrafodelistaCar">
    <w:name w:val="Párrafo de lista Car"/>
    <w:aliases w:val="Listas Car,lp1 Car,List Paragraph1 Car,List Paragraph Char Char Car,b1 Car,List Paragraph11 Car,Bullet List Car,FooterText Car,numbered Car,Paragraphe de liste1 Car,Bulletr List Paragraph Car,列出段落 Car,列出段落1 Car,lp11 Car,Bullet 1 Car"/>
    <w:link w:val="Prrafodelista"/>
    <w:uiPriority w:val="99"/>
    <w:rsid w:val="00830F52"/>
    <w:rPr>
      <w:sz w:val="22"/>
      <w:szCs w:val="22"/>
      <w:lang w:eastAsia="en-US"/>
    </w:rPr>
  </w:style>
  <w:style w:type="paragraph" w:customStyle="1" w:styleId="PRIMERNIVELBULLET">
    <w:name w:val="PRIMER NIVEL  BULLET"/>
    <w:basedOn w:val="Prrafodelista"/>
    <w:link w:val="PRIMERNIVELBULLETCar"/>
    <w:qFormat/>
    <w:rsid w:val="005577CD"/>
    <w:pPr>
      <w:numPr>
        <w:numId w:val="2"/>
      </w:numPr>
      <w:tabs>
        <w:tab w:val="left" w:pos="181"/>
      </w:tabs>
      <w:autoSpaceDE w:val="0"/>
      <w:autoSpaceDN w:val="0"/>
      <w:adjustRightInd w:val="0"/>
      <w:spacing w:before="120" w:after="120" w:line="220" w:lineRule="exact"/>
      <w:ind w:left="181" w:hanging="181"/>
      <w:contextualSpacing w:val="0"/>
    </w:pPr>
    <w:rPr>
      <w:rFonts w:eastAsia="SymbolMT" w:cs="ACaslonPro-Regular"/>
      <w:color w:val="303030"/>
      <w:szCs w:val="18"/>
    </w:rPr>
  </w:style>
  <w:style w:type="character" w:customStyle="1" w:styleId="PRIMERNIVELBULLETCar">
    <w:name w:val="PRIMER NIVEL  BULLET Car"/>
    <w:link w:val="PRIMERNIVELBULLET"/>
    <w:rsid w:val="005577CD"/>
    <w:rPr>
      <w:rFonts w:ascii="Soberana Sans Light" w:eastAsia="SymbolMT" w:hAnsi="Soberana Sans Light" w:cs="ACaslonPro-Regular"/>
      <w:color w:val="303030"/>
      <w:sz w:val="17"/>
      <w:szCs w:val="18"/>
      <w:lang w:eastAsia="en-US"/>
    </w:rPr>
  </w:style>
  <w:style w:type="table" w:customStyle="1" w:styleId="Tablaconcuadrcula1">
    <w:name w:val="Tabla con cuadrícula1"/>
    <w:basedOn w:val="Tablanormal"/>
    <w:next w:val="Tablaconcuadrcula"/>
    <w:uiPriority w:val="59"/>
    <w:rsid w:val="00D23A4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aconcuadrcula">
    <w:name w:val="Table Grid"/>
    <w:basedOn w:val="Tablanormal"/>
    <w:uiPriority w:val="59"/>
    <w:rsid w:val="008B542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iedepgina">
    <w:name w:val="footer"/>
    <w:basedOn w:val="Normal"/>
    <w:link w:val="PiedepginaCar"/>
    <w:uiPriority w:val="99"/>
    <w:unhideWhenUsed/>
    <w:rsid w:val="009A17A2"/>
    <w:pPr>
      <w:tabs>
        <w:tab w:val="center" w:pos="4419"/>
        <w:tab w:val="right" w:pos="8838"/>
      </w:tabs>
    </w:pPr>
  </w:style>
  <w:style w:type="character" w:customStyle="1" w:styleId="PiedepginaCar">
    <w:name w:val="Pie de página Car"/>
    <w:link w:val="Piedepgina"/>
    <w:uiPriority w:val="99"/>
    <w:rsid w:val="009A17A2"/>
    <w:rPr>
      <w:sz w:val="22"/>
      <w:szCs w:val="22"/>
      <w:lang w:eastAsia="en-US"/>
    </w:rPr>
  </w:style>
  <w:style w:type="paragraph" w:customStyle="1" w:styleId="GUION-LOGROS">
    <w:name w:val="GUION - LOGROS"/>
    <w:basedOn w:val="Prrafodelista"/>
    <w:qFormat/>
    <w:rsid w:val="008F741D"/>
    <w:pPr>
      <w:framePr w:wrap="around" w:vAnchor="text" w:hAnchor="margin" w:y="69"/>
      <w:numPr>
        <w:numId w:val="9"/>
      </w:numPr>
      <w:spacing w:before="40" w:after="0" w:line="220" w:lineRule="exact"/>
      <w:ind w:left="323" w:hanging="142"/>
      <w:suppressOverlap/>
    </w:pPr>
    <w:rPr>
      <w:rFonts w:eastAsia="SymbolMT" w:cs="ACaslonPro-Regular"/>
      <w:color w:val="303030"/>
      <w:sz w:val="16"/>
      <w:szCs w:val="16"/>
    </w:rPr>
  </w:style>
  <w:style w:type="paragraph" w:customStyle="1" w:styleId="TITULO5SECCIN">
    <w:name w:val="TITULO 5  SECCIÓN"/>
    <w:next w:val="Normal"/>
    <w:qFormat/>
    <w:rsid w:val="009C3DEB"/>
    <w:pPr>
      <w:autoSpaceDE w:val="0"/>
      <w:autoSpaceDN w:val="0"/>
      <w:adjustRightInd w:val="0"/>
      <w:spacing w:before="160" w:after="160"/>
    </w:pPr>
    <w:rPr>
      <w:rFonts w:ascii="Soberana Sans" w:hAnsi="Soberana Sans" w:cs="ACaslonPro-Bold"/>
      <w:b/>
      <w:bCs/>
      <w:lang w:eastAsia="en-US"/>
    </w:rPr>
  </w:style>
  <w:style w:type="character" w:styleId="Refdecomentario">
    <w:name w:val="annotation reference"/>
    <w:basedOn w:val="Fuentedeprrafopredeter"/>
    <w:uiPriority w:val="99"/>
    <w:semiHidden/>
    <w:unhideWhenUsed/>
    <w:rsid w:val="00322177"/>
    <w:rPr>
      <w:sz w:val="16"/>
      <w:szCs w:val="16"/>
    </w:rPr>
  </w:style>
  <w:style w:type="paragraph" w:styleId="Textocomentario">
    <w:name w:val="annotation text"/>
    <w:basedOn w:val="Normal"/>
    <w:link w:val="TextocomentarioCar"/>
    <w:uiPriority w:val="99"/>
    <w:semiHidden/>
    <w:unhideWhenUsed/>
    <w:rsid w:val="00322177"/>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322177"/>
    <w:rPr>
      <w:rFonts w:ascii="Soberana Sans Light" w:hAnsi="Soberana Sans Light"/>
      <w:lang w:eastAsia="en-US"/>
    </w:rPr>
  </w:style>
  <w:style w:type="paragraph" w:styleId="Asuntodelcomentario">
    <w:name w:val="annotation subject"/>
    <w:basedOn w:val="Textocomentario"/>
    <w:next w:val="Textocomentario"/>
    <w:link w:val="AsuntodelcomentarioCar"/>
    <w:uiPriority w:val="99"/>
    <w:semiHidden/>
    <w:unhideWhenUsed/>
    <w:rsid w:val="00322177"/>
    <w:rPr>
      <w:b/>
      <w:bCs/>
    </w:rPr>
  </w:style>
  <w:style w:type="character" w:customStyle="1" w:styleId="AsuntodelcomentarioCar">
    <w:name w:val="Asunto del comentario Car"/>
    <w:basedOn w:val="TextocomentarioCar"/>
    <w:link w:val="Asuntodelcomentario"/>
    <w:uiPriority w:val="99"/>
    <w:semiHidden/>
    <w:rsid w:val="00322177"/>
    <w:rPr>
      <w:rFonts w:ascii="Soberana Sans Light" w:hAnsi="Soberana Sans Light"/>
      <w:b/>
      <w:bCs/>
      <w:lang w:eastAsia="en-US"/>
    </w:rPr>
  </w:style>
  <w:style w:type="paragraph" w:customStyle="1" w:styleId="TITULO2INTRODUCCION">
    <w:name w:val="TITULO 2 INTRODUCCION"/>
    <w:basedOn w:val="Normal"/>
    <w:qFormat/>
    <w:rsid w:val="00A30FF0"/>
    <w:pPr>
      <w:autoSpaceDE w:val="0"/>
      <w:autoSpaceDN w:val="0"/>
      <w:adjustRightInd w:val="0"/>
      <w:spacing w:before="160" w:after="160" w:line="240" w:lineRule="auto"/>
      <w:jc w:val="left"/>
    </w:pPr>
    <w:rPr>
      <w:rFonts w:ascii="Soberana Sans" w:eastAsia="Times New Roman" w:hAnsi="Soberana Sans" w:cs="ACaslonPro-Regular"/>
      <w:b/>
      <w:sz w:val="32"/>
      <w:szCs w:val="32"/>
      <w:lang w:val="es-ES" w:eastAsia="es-ES"/>
    </w:rPr>
  </w:style>
  <w:style w:type="paragraph" w:styleId="Textoindependiente3">
    <w:name w:val="Body Text 3"/>
    <w:basedOn w:val="Normal"/>
    <w:link w:val="Textoindependiente3Car"/>
    <w:rsid w:val="00A30FF0"/>
    <w:pPr>
      <w:widowControl w:val="0"/>
      <w:overflowPunct w:val="0"/>
      <w:autoSpaceDE w:val="0"/>
      <w:autoSpaceDN w:val="0"/>
      <w:adjustRightInd w:val="0"/>
      <w:spacing w:before="120" w:after="0" w:line="240" w:lineRule="auto"/>
      <w:jc w:val="left"/>
      <w:textAlignment w:val="baseline"/>
    </w:pPr>
    <w:rPr>
      <w:rFonts w:ascii="Arial" w:eastAsia="Times New Roman" w:hAnsi="Arial"/>
      <w:bCs/>
      <w:sz w:val="20"/>
      <w:szCs w:val="20"/>
      <w:lang w:val="es-ES" w:eastAsia="es-ES"/>
    </w:rPr>
  </w:style>
  <w:style w:type="character" w:customStyle="1" w:styleId="Textoindependiente3Car">
    <w:name w:val="Texto independiente 3 Car"/>
    <w:basedOn w:val="Fuentedeprrafopredeter"/>
    <w:link w:val="Textoindependiente3"/>
    <w:rsid w:val="00A30FF0"/>
    <w:rPr>
      <w:rFonts w:ascii="Arial" w:eastAsia="Times New Roman" w:hAnsi="Arial"/>
      <w:bCs/>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22021952">
      <w:bodyDiv w:val="1"/>
      <w:marLeft w:val="0"/>
      <w:marRight w:val="0"/>
      <w:marTop w:val="0"/>
      <w:marBottom w:val="0"/>
      <w:divBdr>
        <w:top w:val="none" w:sz="0" w:space="0" w:color="auto"/>
        <w:left w:val="none" w:sz="0" w:space="0" w:color="auto"/>
        <w:bottom w:val="none" w:sz="0" w:space="0" w:color="auto"/>
        <w:right w:val="none" w:sz="0" w:space="0" w:color="auto"/>
      </w:divBdr>
    </w:div>
    <w:div w:id="1207644138">
      <w:bodyDiv w:val="1"/>
      <w:marLeft w:val="0"/>
      <w:marRight w:val="0"/>
      <w:marTop w:val="0"/>
      <w:marBottom w:val="0"/>
      <w:divBdr>
        <w:top w:val="none" w:sz="0" w:space="0" w:color="auto"/>
        <w:left w:val="none" w:sz="0" w:space="0" w:color="auto"/>
        <w:bottom w:val="none" w:sz="0" w:space="0" w:color="auto"/>
        <w:right w:val="none" w:sz="0" w:space="0" w:color="auto"/>
      </w:divBdr>
    </w:div>
    <w:div w:id="18282807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4.xml"/><Relationship Id="rId18" Type="http://schemas.openxmlformats.org/officeDocument/2006/relationships/footer" Target="footer9.xml"/><Relationship Id="rId26" Type="http://schemas.openxmlformats.org/officeDocument/2006/relationships/hyperlink" Target="http://www.gob.mx/fnd" TargetMode="External"/><Relationship Id="rId3" Type="http://schemas.openxmlformats.org/officeDocument/2006/relationships/styles" Target="styles.xml"/><Relationship Id="rId21" Type="http://schemas.openxmlformats.org/officeDocument/2006/relationships/hyperlink" Target="http://www.gob.mx/fnd" TargetMode="Externa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footer" Target="footer8.xml"/><Relationship Id="rId25" Type="http://schemas.openxmlformats.org/officeDocument/2006/relationships/hyperlink" Target="http://www.gob.mx/fnd" TargetMode="External"/><Relationship Id="rId2" Type="http://schemas.openxmlformats.org/officeDocument/2006/relationships/numbering" Target="numbering.xml"/><Relationship Id="rId16" Type="http://schemas.openxmlformats.org/officeDocument/2006/relationships/footer" Target="footer7.xml"/><Relationship Id="rId20" Type="http://schemas.openxmlformats.org/officeDocument/2006/relationships/hyperlink" Target="http://www.gob.mx/fnd"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yperlink" Target="http://www.gob.mx/fnd" TargetMode="External"/><Relationship Id="rId5" Type="http://schemas.openxmlformats.org/officeDocument/2006/relationships/webSettings" Target="webSettings.xml"/><Relationship Id="rId15" Type="http://schemas.openxmlformats.org/officeDocument/2006/relationships/footer" Target="footer6.xml"/><Relationship Id="rId23" Type="http://schemas.openxmlformats.org/officeDocument/2006/relationships/hyperlink" Target="http://www.gob.mx/fnd" TargetMode="External"/><Relationship Id="rId28" Type="http://schemas.openxmlformats.org/officeDocument/2006/relationships/footer" Target="footer12.xml"/><Relationship Id="rId10" Type="http://schemas.openxmlformats.org/officeDocument/2006/relationships/footer" Target="footer1.xml"/><Relationship Id="rId19" Type="http://schemas.openxmlformats.org/officeDocument/2006/relationships/footer" Target="footer10.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oter" Target="footer5.xml"/><Relationship Id="rId22" Type="http://schemas.openxmlformats.org/officeDocument/2006/relationships/hyperlink" Target="http://www.gob.mx/fnd" TargetMode="External"/><Relationship Id="rId27" Type="http://schemas.openxmlformats.org/officeDocument/2006/relationships/footer" Target="footer11.xml"/><Relationship Id="rId30"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FEEAE84-2335-4C7F-A81D-96E29D71A1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30</TotalTime>
  <Pages>29</Pages>
  <Words>7335</Words>
  <Characters>40344</Characters>
  <Application>Microsoft Office Word</Application>
  <DocSecurity>0</DocSecurity>
  <Lines>336</Lines>
  <Paragraphs>95</Paragraphs>
  <ScaleCrop>false</ScaleCrop>
  <HeadingPairs>
    <vt:vector size="2" baseType="variant">
      <vt:variant>
        <vt:lpstr>Título</vt:lpstr>
      </vt:variant>
      <vt:variant>
        <vt:i4>1</vt:i4>
      </vt:variant>
    </vt:vector>
  </HeadingPairs>
  <TitlesOfParts>
    <vt:vector size="1" baseType="lpstr">
      <vt:lpstr/>
    </vt:vector>
  </TitlesOfParts>
  <Company>Secretaria de Hacienda y Credito Publico</Company>
  <LinksUpToDate>false</LinksUpToDate>
  <CharactersWithSpaces>47584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Jose Rafael Calderon Colin</dc:creator>
  <cp:lastModifiedBy>Monica Gutierrez Flores</cp:lastModifiedBy>
  <cp:revision>9</cp:revision>
  <cp:lastPrinted>2018-02-27T23:51:00Z</cp:lastPrinted>
  <dcterms:created xsi:type="dcterms:W3CDTF">2018-02-27T23:38:00Z</dcterms:created>
  <dcterms:modified xsi:type="dcterms:W3CDTF">2018-02-28T00:10:00Z</dcterms:modified>
</cp:coreProperties>
</file>